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0D8F" w:rsidRDefault="009C0D8F"/>
    <w:p w:rsidR="009C0D8F" w:rsidRDefault="009C0D8F"/>
    <w:p w:rsidR="009C0D8F" w:rsidRDefault="009C0D8F"/>
    <w:p w:rsidR="009C0D8F" w:rsidRDefault="009C0D8F"/>
    <w:p w:rsidR="009C0D8F" w:rsidRDefault="009C0D8F"/>
    <w:p w:rsidR="009C0D8F" w:rsidRDefault="009C0D8F"/>
    <w:p w:rsidR="009C0D8F" w:rsidRDefault="009C0D8F"/>
    <w:p w:rsidR="009C0D8F" w:rsidRDefault="009C0D8F"/>
    <w:p w:rsidR="009C0D8F" w:rsidRDefault="009C0D8F"/>
    <w:p w:rsidR="009C0D8F" w:rsidRDefault="009C0D8F"/>
    <w:p w:rsidR="009C0D8F" w:rsidRDefault="0082466E" w:rsidP="00C41AF7">
      <w:pPr>
        <w:jc w:val="center"/>
      </w:pPr>
      <w:r>
        <w:rPr>
          <w:noProof/>
        </w:rPr>
        <mc:AlternateContent>
          <mc:Choice Requires="wps">
            <w:drawing>
              <wp:anchor distT="0" distB="0" distL="114300" distR="114300" simplePos="0" relativeHeight="251663360" behindDoc="0" locked="0" layoutInCell="1" allowOverlap="1" wp14:anchorId="3B62D613" wp14:editId="59BB6307">
                <wp:simplePos x="0" y="0"/>
                <wp:positionH relativeFrom="margin">
                  <wp:align>right</wp:align>
                </wp:positionH>
                <wp:positionV relativeFrom="paragraph">
                  <wp:posOffset>207010</wp:posOffset>
                </wp:positionV>
                <wp:extent cx="5219700" cy="3257550"/>
                <wp:effectExtent l="0" t="0" r="0" b="0"/>
                <wp:wrapNone/>
                <wp:docPr id="10" name="Caixa de Texto 10"/>
                <wp:cNvGraphicFramePr/>
                <a:graphic xmlns:a="http://schemas.openxmlformats.org/drawingml/2006/main">
                  <a:graphicData uri="http://schemas.microsoft.com/office/word/2010/wordprocessingShape">
                    <wps:wsp>
                      <wps:cNvSpPr txBox="1"/>
                      <wps:spPr>
                        <a:xfrm>
                          <a:off x="0" y="0"/>
                          <a:ext cx="5219700" cy="3257550"/>
                        </a:xfrm>
                        <a:prstGeom prst="rect">
                          <a:avLst/>
                        </a:prstGeom>
                        <a:noFill/>
                        <a:ln w="6350">
                          <a:noFill/>
                        </a:ln>
                      </wps:spPr>
                      <wps:txbx>
                        <w:txbxContent>
                          <w:p w:rsidR="00E14A48" w:rsidRPr="005A0816" w:rsidRDefault="009617B8" w:rsidP="009617B8">
                            <w:pPr>
                              <w:spacing w:after="100" w:afterAutospacing="1" w:line="240" w:lineRule="auto"/>
                              <w:rPr>
                                <w:rFonts w:ascii="Poppins Black" w:hAnsi="Poppins Black" w:cs="Poppins Black"/>
                                <w:color w:val="FFFFFF" w:themeColor="background1"/>
                                <w:sz w:val="96"/>
                                <w:szCs w:val="96"/>
                              </w:rPr>
                            </w:pPr>
                            <w:r>
                              <w:rPr>
                                <w:rFonts w:ascii="Poppins Black" w:hAnsi="Poppins Black" w:cs="Poppins Black"/>
                                <w:color w:val="FFFFFF" w:themeColor="background1"/>
                                <w:sz w:val="96"/>
                                <w:szCs w:val="96"/>
                              </w:rPr>
                              <w:t xml:space="preserve">POLÍTICA </w:t>
                            </w:r>
                            <w:proofErr w:type="gramStart"/>
                            <w:r>
                              <w:rPr>
                                <w:rFonts w:ascii="Poppins Black" w:hAnsi="Poppins Black" w:cs="Poppins Black"/>
                                <w:color w:val="FFFFFF" w:themeColor="background1"/>
                                <w:sz w:val="96"/>
                                <w:szCs w:val="96"/>
                              </w:rPr>
                              <w:t xml:space="preserve">DE </w:t>
                            </w:r>
                            <w:r w:rsidR="0082466E" w:rsidRPr="005A0816">
                              <w:rPr>
                                <w:rFonts w:ascii="Poppins Black" w:hAnsi="Poppins Black" w:cs="Poppins Black"/>
                                <w:color w:val="FFFFFF" w:themeColor="background1"/>
                                <w:sz w:val="96"/>
                                <w:szCs w:val="96"/>
                              </w:rPr>
                              <w:t xml:space="preserve"> EXTENSÃO</w:t>
                            </w:r>
                            <w:proofErr w:type="gramEnd"/>
                            <w:r w:rsidR="0082466E" w:rsidRPr="005A0816">
                              <w:rPr>
                                <w:rFonts w:ascii="Poppins Black" w:hAnsi="Poppins Black" w:cs="Poppins Black"/>
                                <w:color w:val="FFFFFF" w:themeColor="background1"/>
                                <w:sz w:val="96"/>
                                <w:szCs w:val="96"/>
                              </w:rPr>
                              <w:t xml:space="preserve"> </w:t>
                            </w:r>
                            <w:r w:rsidR="00C41AF7" w:rsidRPr="005A0816">
                              <w:rPr>
                                <w:rFonts w:ascii="Poppins Black" w:hAnsi="Poppins Black" w:cs="Poppins Black"/>
                                <w:color w:val="FFFFFF" w:themeColor="background1"/>
                                <w:sz w:val="96"/>
                                <w:szCs w:val="96"/>
                              </w:rPr>
                              <w:t>202</w:t>
                            </w:r>
                            <w:r w:rsidR="005A0816" w:rsidRPr="005A0816">
                              <w:rPr>
                                <w:rFonts w:ascii="Poppins Black" w:hAnsi="Poppins Black" w:cs="Poppins Black"/>
                                <w:color w:val="FFFFFF" w:themeColor="background1"/>
                                <w:sz w:val="96"/>
                                <w:szCs w:val="96"/>
                              </w:rPr>
                              <w:t>3</w:t>
                            </w:r>
                            <w:r w:rsidR="00C41AF7" w:rsidRPr="005A0816">
                              <w:rPr>
                                <w:rFonts w:ascii="Poppins Black" w:hAnsi="Poppins Black" w:cs="Poppins Black"/>
                                <w:color w:val="FFFFFF" w:themeColor="background1"/>
                                <w:sz w:val="96"/>
                                <w:szCs w:val="9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62D613" id="_x0000_t202" coordsize="21600,21600" o:spt="202" path="m,l,21600r21600,l21600,xe">
                <v:stroke joinstyle="miter"/>
                <v:path gradientshapeok="t" o:connecttype="rect"/>
              </v:shapetype>
              <v:shape id="Caixa de Texto 10" o:spid="_x0000_s1026" type="#_x0000_t202" style="position:absolute;left:0;text-align:left;margin-left:359.8pt;margin-top:16.3pt;width:411pt;height:256.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NDqMgIAAFoEAAAOAAAAZHJzL2Uyb0RvYy54bWysVFFv2jAQfp+0/2D5fQQotCsiVIyKaRJq&#10;K8HUZ+M4ECnxebYhYb9+n51AWbenaS/O2d/5u7vvzpk+NFXJjsq6gnTKB70+Z0pLygq9S/n3zfLT&#10;Z86cFzoTJWmV8pNy/GH28cO0NhM1pD2VmbIMJNpNapPyvfdmkiRO7lUlXI+M0gBzspXw2NpdkllR&#10;g70qk2G/f5vUZDNjSSrncPrYgnwW+fNcSf+c5055VqYcufm42rhuw5rMpmKys8LsC9mlIf4hi0oU&#10;GkEvVI/CC3awxR9UVSEtOcp9T1KVUJ4XUsUaUM2g/66a9V4YFWuBOM5cZHL/j1Y+HV8sKzL0DvJo&#10;UaFHC1E0gmWKbVTjiQGASrVxEzivDdx984Ua3DifOxyG4pvcVuGLshhwEJ4uGoOKSRyOh4P7uz4g&#10;CexmOL4bjyN/8nbdWOe/KqpYMFJu0cSorTiunEcqcD27hGialkVZxkaWmtUpv70B5W8IbpQaF0MR&#10;bbLB8s226SrbUnZCYZbaAXFGLgsEXwnnX4TFRCBhTLl/xpKXhCDUWZztyf7823nwR6OAclZjwlLu&#10;fhyEVZyV3zRaeD8YjUDr42Y0vhtiY6+R7TWiD9WCMMQDvCcjoxn8fXk2c0vVKx7DPEQFJLRE7JT7&#10;s7nw7dzjMUk1n0cnDKERfqXXRgbqIFqQdtO8Cms6/T1a90TnWRSTd21ofVu55wdPeRF7FARuVe10&#10;xwDH1nWPLbyQ6330evslzH4BAAD//wMAUEsDBBQABgAIAAAAIQCT4BlV3wAAAAcBAAAPAAAAZHJz&#10;L2Rvd25yZXYueG1sTI/NTsMwEITvSLyDtZW4UaeGRFHIpqoiVUgIDi29cHNiN4nwT4jdNvD0LCd6&#10;3JnRzLfleraGnfUUBu8QVssEmHatV4PrEA7v2/scWIjSKWm80wjfOsC6ur0pZaH8xe30eR87RiUu&#10;FBKhj3EsOA9tr60MSz9qR97RT1ZGOqeOq0leqNwaLpIk41YOjhZ6Oeq61+3n/mQRXurtm9w1wuY/&#10;pn5+PW7Gr8NHini3mDdPwKKe438Y/vAJHSpiavzJqcAMAj0SER5EBozcXAgSGoT0Mc2AVyW/5q9+&#10;AQAA//8DAFBLAQItABQABgAIAAAAIQC2gziS/gAAAOEBAAATAAAAAAAAAAAAAAAAAAAAAABbQ29u&#10;dGVudF9UeXBlc10ueG1sUEsBAi0AFAAGAAgAAAAhADj9If/WAAAAlAEAAAsAAAAAAAAAAAAAAAAA&#10;LwEAAF9yZWxzLy5yZWxzUEsBAi0AFAAGAAgAAAAhAOmw0OoyAgAAWgQAAA4AAAAAAAAAAAAAAAAA&#10;LgIAAGRycy9lMm9Eb2MueG1sUEsBAi0AFAAGAAgAAAAhAJPgGVXfAAAABwEAAA8AAAAAAAAAAAAA&#10;AAAAjAQAAGRycy9kb3ducmV2LnhtbFBLBQYAAAAABAAEAPMAAACYBQAAAAA=&#10;" filled="f" stroked="f" strokeweight=".5pt">
                <v:textbox>
                  <w:txbxContent>
                    <w:p w:rsidR="00E14A48" w:rsidRPr="005A0816" w:rsidRDefault="009617B8" w:rsidP="009617B8">
                      <w:pPr>
                        <w:spacing w:after="100" w:afterAutospacing="1" w:line="240" w:lineRule="auto"/>
                        <w:rPr>
                          <w:rFonts w:ascii="Poppins Black" w:hAnsi="Poppins Black" w:cs="Poppins Black"/>
                          <w:color w:val="FFFFFF" w:themeColor="background1"/>
                          <w:sz w:val="96"/>
                          <w:szCs w:val="96"/>
                        </w:rPr>
                      </w:pPr>
                      <w:r>
                        <w:rPr>
                          <w:rFonts w:ascii="Poppins Black" w:hAnsi="Poppins Black" w:cs="Poppins Black"/>
                          <w:color w:val="FFFFFF" w:themeColor="background1"/>
                          <w:sz w:val="96"/>
                          <w:szCs w:val="96"/>
                        </w:rPr>
                        <w:t xml:space="preserve">POLÍTICA </w:t>
                      </w:r>
                      <w:proofErr w:type="gramStart"/>
                      <w:r>
                        <w:rPr>
                          <w:rFonts w:ascii="Poppins Black" w:hAnsi="Poppins Black" w:cs="Poppins Black"/>
                          <w:color w:val="FFFFFF" w:themeColor="background1"/>
                          <w:sz w:val="96"/>
                          <w:szCs w:val="96"/>
                        </w:rPr>
                        <w:t xml:space="preserve">DE </w:t>
                      </w:r>
                      <w:r w:rsidR="0082466E" w:rsidRPr="005A0816">
                        <w:rPr>
                          <w:rFonts w:ascii="Poppins Black" w:hAnsi="Poppins Black" w:cs="Poppins Black"/>
                          <w:color w:val="FFFFFF" w:themeColor="background1"/>
                          <w:sz w:val="96"/>
                          <w:szCs w:val="96"/>
                        </w:rPr>
                        <w:t xml:space="preserve"> EXTENSÃO</w:t>
                      </w:r>
                      <w:proofErr w:type="gramEnd"/>
                      <w:r w:rsidR="0082466E" w:rsidRPr="005A0816">
                        <w:rPr>
                          <w:rFonts w:ascii="Poppins Black" w:hAnsi="Poppins Black" w:cs="Poppins Black"/>
                          <w:color w:val="FFFFFF" w:themeColor="background1"/>
                          <w:sz w:val="96"/>
                          <w:szCs w:val="96"/>
                        </w:rPr>
                        <w:t xml:space="preserve"> </w:t>
                      </w:r>
                      <w:r w:rsidR="00C41AF7" w:rsidRPr="005A0816">
                        <w:rPr>
                          <w:rFonts w:ascii="Poppins Black" w:hAnsi="Poppins Black" w:cs="Poppins Black"/>
                          <w:color w:val="FFFFFF" w:themeColor="background1"/>
                          <w:sz w:val="96"/>
                          <w:szCs w:val="96"/>
                        </w:rPr>
                        <w:t>202</w:t>
                      </w:r>
                      <w:r w:rsidR="005A0816" w:rsidRPr="005A0816">
                        <w:rPr>
                          <w:rFonts w:ascii="Poppins Black" w:hAnsi="Poppins Black" w:cs="Poppins Black"/>
                          <w:color w:val="FFFFFF" w:themeColor="background1"/>
                          <w:sz w:val="96"/>
                          <w:szCs w:val="96"/>
                        </w:rPr>
                        <w:t>3</w:t>
                      </w:r>
                      <w:r w:rsidR="00C41AF7" w:rsidRPr="005A0816">
                        <w:rPr>
                          <w:rFonts w:ascii="Poppins Black" w:hAnsi="Poppins Black" w:cs="Poppins Black"/>
                          <w:color w:val="FFFFFF" w:themeColor="background1"/>
                          <w:sz w:val="96"/>
                          <w:szCs w:val="96"/>
                        </w:rPr>
                        <w:t xml:space="preserve"> </w:t>
                      </w:r>
                    </w:p>
                  </w:txbxContent>
                </v:textbox>
                <w10:wrap anchorx="margin"/>
              </v:shape>
            </w:pict>
          </mc:Fallback>
        </mc:AlternateContent>
      </w:r>
    </w:p>
    <w:p w:rsidR="009C0D8F" w:rsidRDefault="009C0D8F"/>
    <w:p w:rsidR="009C0D8F" w:rsidRDefault="009C0D8F"/>
    <w:p w:rsidR="009C0D8F" w:rsidRDefault="009C0D8F"/>
    <w:p w:rsidR="009C0D8F" w:rsidRDefault="009C0D8F"/>
    <w:p w:rsidR="009C0D8F" w:rsidRDefault="009C0D8F"/>
    <w:p w:rsidR="009C0D8F" w:rsidRDefault="009C0D8F"/>
    <w:p w:rsidR="009C0D8F" w:rsidRDefault="009C0D8F"/>
    <w:p w:rsidR="009C0D8F" w:rsidRDefault="009C0D8F"/>
    <w:p w:rsidR="009C0D8F" w:rsidRDefault="009C0D8F"/>
    <w:p w:rsidR="009C0D8F" w:rsidRDefault="009C0D8F"/>
    <w:p w:rsidR="009C0D8F" w:rsidRDefault="009C0D8F"/>
    <w:p w:rsidR="009C0D8F" w:rsidRDefault="009C0D8F"/>
    <w:p w:rsidR="009C0D8F" w:rsidRDefault="009C0D8F"/>
    <w:p w:rsidR="009C0D8F" w:rsidRDefault="009C0D8F"/>
    <w:p w:rsidR="009C0D8F" w:rsidRDefault="009C0D8F"/>
    <w:p w:rsidR="009C0D8F" w:rsidRDefault="009C0D8F"/>
    <w:p w:rsidR="009617B8" w:rsidRDefault="009617B8" w:rsidP="009617B8">
      <w:pPr>
        <w:tabs>
          <w:tab w:val="left" w:pos="5520"/>
        </w:tabs>
        <w:jc w:val="center"/>
      </w:pPr>
    </w:p>
    <w:p w:rsidR="009617B8" w:rsidRDefault="009617B8" w:rsidP="009617B8">
      <w:pPr>
        <w:tabs>
          <w:tab w:val="left" w:pos="5520"/>
        </w:tabs>
        <w:jc w:val="center"/>
      </w:pPr>
    </w:p>
    <w:p w:rsidR="009617B8" w:rsidRPr="00D759ED" w:rsidRDefault="009617B8" w:rsidP="009617B8">
      <w:pPr>
        <w:tabs>
          <w:tab w:val="left" w:pos="5520"/>
        </w:tabs>
        <w:rPr>
          <w:rFonts w:ascii="Arial" w:hAnsi="Arial" w:cs="Arial"/>
          <w:b/>
          <w:sz w:val="24"/>
          <w:szCs w:val="24"/>
        </w:rPr>
      </w:pPr>
      <w:r w:rsidRPr="00D759ED">
        <w:rPr>
          <w:rFonts w:ascii="Arial" w:hAnsi="Arial" w:cs="Arial"/>
          <w:b/>
          <w:sz w:val="24"/>
          <w:szCs w:val="24"/>
        </w:rPr>
        <w:t>1 APRESENTAÇÃO</w:t>
      </w:r>
    </w:p>
    <w:p w:rsidR="009617B8" w:rsidRPr="00D759ED" w:rsidRDefault="009617B8" w:rsidP="009617B8">
      <w:pPr>
        <w:tabs>
          <w:tab w:val="left" w:pos="5520"/>
        </w:tabs>
        <w:rPr>
          <w:b/>
        </w:rPr>
      </w:pPr>
    </w:p>
    <w:p w:rsidR="009617B8" w:rsidRDefault="009617B8" w:rsidP="009617B8">
      <w:pPr>
        <w:spacing w:line="360" w:lineRule="auto"/>
        <w:ind w:firstLine="708"/>
        <w:jc w:val="both"/>
        <w:rPr>
          <w:rFonts w:ascii="Arial" w:hAnsi="Arial" w:cs="Arial"/>
          <w:sz w:val="24"/>
          <w:szCs w:val="24"/>
        </w:rPr>
      </w:pPr>
      <w:r w:rsidRPr="00DF64A7">
        <w:rPr>
          <w:rFonts w:ascii="Arial" w:hAnsi="Arial" w:cs="Arial"/>
          <w:sz w:val="24"/>
          <w:szCs w:val="24"/>
        </w:rPr>
        <w:t xml:space="preserve">O processo de educar compreende práticas exitosas em diversos ramos do saber, colocando o discente em contato com a prática de conteúdos abordados em sala de aula. Sendo assim, entendendo que a Iniciação Científica é uma modalidade de pesquisa acadêmica desenvolvida com alunos de graduação, sob orientação docente, visando à iniciação em práticas de pesquisa em diversas áreas do conhecimento, e que a Extensão é um processo interdisciplinar  educativo que promove a interação entre </w:t>
      </w:r>
      <w:r>
        <w:rPr>
          <w:rFonts w:ascii="Arial" w:hAnsi="Arial" w:cs="Arial"/>
          <w:sz w:val="24"/>
          <w:szCs w:val="24"/>
        </w:rPr>
        <w:t>a instituição de ensino superior (</w:t>
      </w:r>
      <w:r w:rsidRPr="00DF64A7">
        <w:rPr>
          <w:rFonts w:ascii="Arial" w:hAnsi="Arial" w:cs="Arial"/>
          <w:sz w:val="24"/>
          <w:szCs w:val="24"/>
        </w:rPr>
        <w:t>IES</w:t>
      </w:r>
      <w:r>
        <w:rPr>
          <w:rFonts w:ascii="Arial" w:hAnsi="Arial" w:cs="Arial"/>
          <w:sz w:val="24"/>
          <w:szCs w:val="24"/>
        </w:rPr>
        <w:t>)</w:t>
      </w:r>
      <w:r w:rsidRPr="00DF64A7">
        <w:rPr>
          <w:rFonts w:ascii="Arial" w:hAnsi="Arial" w:cs="Arial"/>
          <w:sz w:val="24"/>
          <w:szCs w:val="24"/>
        </w:rPr>
        <w:t xml:space="preserve"> e outros setores da sociedade, aplicando o desenvolvimento científico e tecnológico junto aos agentes do meio externo, </w:t>
      </w:r>
      <w:r>
        <w:rPr>
          <w:rFonts w:ascii="Arial" w:hAnsi="Arial" w:cs="Arial"/>
          <w:sz w:val="24"/>
          <w:szCs w:val="24"/>
        </w:rPr>
        <w:t>e entendendo que o tripé ensino-pesquisa-extensão são indissociáveis, a prática extensionista deve promover mudanças na sociedade a qual a IES está inserida preferencialmente.</w:t>
      </w:r>
    </w:p>
    <w:p w:rsidR="009617B8" w:rsidRDefault="009617B8" w:rsidP="009617B8">
      <w:pPr>
        <w:spacing w:line="360" w:lineRule="auto"/>
        <w:ind w:firstLine="708"/>
        <w:jc w:val="both"/>
        <w:rPr>
          <w:rFonts w:ascii="Arial" w:hAnsi="Arial" w:cs="Arial"/>
          <w:sz w:val="24"/>
          <w:szCs w:val="24"/>
        </w:rPr>
      </w:pPr>
      <w:r>
        <w:rPr>
          <w:rFonts w:ascii="Arial" w:hAnsi="Arial" w:cs="Arial"/>
          <w:sz w:val="24"/>
          <w:szCs w:val="24"/>
        </w:rPr>
        <w:t>O processo de ação extensionista deve ter como foco o auxílio à sociedade, tendo o estudante como eixo principal de aprendizagem. Sendo assim, os projetos de extensão devem levar em consideração os conhecimentos adquiridos que deverão ser praticados que estejam em consonância com o perfil do Egresso e com as necessidades da sociedade.</w:t>
      </w:r>
    </w:p>
    <w:p w:rsidR="009617B8" w:rsidRPr="00F7256A" w:rsidRDefault="009617B8" w:rsidP="009617B8">
      <w:pPr>
        <w:spacing w:line="360" w:lineRule="auto"/>
        <w:ind w:firstLine="708"/>
        <w:jc w:val="both"/>
        <w:rPr>
          <w:rFonts w:ascii="Arial" w:hAnsi="Arial" w:cs="Arial"/>
          <w:sz w:val="24"/>
          <w:szCs w:val="24"/>
        </w:rPr>
      </w:pPr>
      <w:r>
        <w:rPr>
          <w:rFonts w:ascii="Arial" w:hAnsi="Arial" w:cs="Arial"/>
          <w:sz w:val="24"/>
          <w:szCs w:val="24"/>
        </w:rPr>
        <w:t xml:space="preserve">As ações extensionistas devem abarcar tanto os cursos de graduação presenciais quanto os em modalidade </w:t>
      </w:r>
      <w:proofErr w:type="spellStart"/>
      <w:r>
        <w:rPr>
          <w:rFonts w:ascii="Arial" w:hAnsi="Arial" w:cs="Arial"/>
          <w:sz w:val="24"/>
          <w:szCs w:val="24"/>
        </w:rPr>
        <w:t>EaD</w:t>
      </w:r>
      <w:proofErr w:type="spellEnd"/>
      <w:r>
        <w:rPr>
          <w:rFonts w:ascii="Arial" w:hAnsi="Arial" w:cs="Arial"/>
          <w:sz w:val="24"/>
          <w:szCs w:val="24"/>
        </w:rPr>
        <w:t xml:space="preserve">. Os projetos envolvendo estudantes da modalidade </w:t>
      </w:r>
      <w:proofErr w:type="spellStart"/>
      <w:r>
        <w:rPr>
          <w:rFonts w:ascii="Arial" w:hAnsi="Arial" w:cs="Arial"/>
          <w:sz w:val="24"/>
          <w:szCs w:val="24"/>
        </w:rPr>
        <w:t>EaD</w:t>
      </w:r>
      <w:proofErr w:type="spellEnd"/>
      <w:r>
        <w:rPr>
          <w:rFonts w:ascii="Arial" w:hAnsi="Arial" w:cs="Arial"/>
          <w:sz w:val="24"/>
          <w:szCs w:val="24"/>
        </w:rPr>
        <w:t xml:space="preserve"> devem ter a possibilidade de atender o público virtual.</w:t>
      </w:r>
    </w:p>
    <w:p w:rsidR="009617B8" w:rsidRDefault="009617B8" w:rsidP="009617B8">
      <w:pPr>
        <w:tabs>
          <w:tab w:val="left" w:pos="5520"/>
        </w:tabs>
      </w:pPr>
    </w:p>
    <w:p w:rsidR="009617B8" w:rsidRPr="00D759ED" w:rsidRDefault="009617B8" w:rsidP="009617B8">
      <w:pPr>
        <w:tabs>
          <w:tab w:val="left" w:pos="5520"/>
        </w:tabs>
        <w:rPr>
          <w:rFonts w:ascii="Arial" w:hAnsi="Arial" w:cs="Arial"/>
          <w:b/>
          <w:sz w:val="24"/>
          <w:szCs w:val="24"/>
        </w:rPr>
      </w:pPr>
      <w:r w:rsidRPr="00D759ED">
        <w:rPr>
          <w:rFonts w:ascii="Arial" w:hAnsi="Arial" w:cs="Arial"/>
          <w:b/>
          <w:sz w:val="24"/>
          <w:szCs w:val="24"/>
        </w:rPr>
        <w:t>2 ENTENDENDO AS FINALIDADES DA EXTENSÃO UNIVERSITÁRIA</w:t>
      </w:r>
    </w:p>
    <w:p w:rsidR="009617B8" w:rsidRDefault="009617B8" w:rsidP="009617B8">
      <w:pPr>
        <w:tabs>
          <w:tab w:val="left" w:pos="5520"/>
        </w:tabs>
      </w:pPr>
    </w:p>
    <w:p w:rsidR="009617B8" w:rsidRPr="008660BE" w:rsidRDefault="009617B8" w:rsidP="009617B8">
      <w:pPr>
        <w:tabs>
          <w:tab w:val="left" w:pos="5520"/>
        </w:tabs>
        <w:spacing w:line="360" w:lineRule="auto"/>
        <w:jc w:val="both"/>
        <w:rPr>
          <w:rFonts w:ascii="Arial" w:hAnsi="Arial" w:cs="Arial"/>
          <w:sz w:val="24"/>
          <w:szCs w:val="24"/>
        </w:rPr>
      </w:pPr>
      <w:r>
        <w:rPr>
          <w:rFonts w:ascii="Arial" w:hAnsi="Arial" w:cs="Arial"/>
          <w:sz w:val="24"/>
          <w:szCs w:val="24"/>
        </w:rPr>
        <w:t xml:space="preserve">               </w:t>
      </w:r>
      <w:r w:rsidRPr="008660BE">
        <w:rPr>
          <w:rFonts w:ascii="Arial" w:hAnsi="Arial" w:cs="Arial"/>
          <w:sz w:val="24"/>
          <w:szCs w:val="24"/>
        </w:rPr>
        <w:t xml:space="preserve">De acordo com a Política Nacional de Extensão Universitária (2012), a prática de atividades de Extensão Universitária, no Brasil, remonta ao início do século XX, coincidindo com a criação do Ensino Superior. Suas primeiras manifestações foram os cursos e conferências realizados na antiga Universidade </w:t>
      </w:r>
      <w:r w:rsidRPr="008660BE">
        <w:rPr>
          <w:rFonts w:ascii="Arial" w:hAnsi="Arial" w:cs="Arial"/>
          <w:sz w:val="24"/>
          <w:szCs w:val="24"/>
        </w:rPr>
        <w:lastRenderedPageBreak/>
        <w:t>de São Paulo, em 1911, e as prestações de serviço da Escola Superior de Agricultura e Veterinária de Viçosa, desenvolvidos na década de 1920. No primeiro caso, a influência veio da Inglaterra; no segundo, dos Estados Unidos. No final da década de 1950 e início da de 1960, os universitários brasileiros, reunidos na União Nacional dos Estudantes - UNE, organizaram movimentos culturais e políticos que foram reconhecidos como fundamentais para a formação das lideranças de que carecia o País, além de demonstrarem forte compromisso social e buscarem uma atuação interprofissional, por meio de metodologias que possibilitavam a reflexão sobre sua prática. Não obstante o dinamismo que imprimiu à sociedade civil brasileira, o movimento estudantil daquela época pouco contribuiu para a institucionalização da Extensão Universitária.</w:t>
      </w:r>
    </w:p>
    <w:p w:rsidR="009617B8" w:rsidRPr="008660BE" w:rsidRDefault="009617B8" w:rsidP="009617B8">
      <w:pPr>
        <w:tabs>
          <w:tab w:val="left" w:pos="5520"/>
        </w:tabs>
        <w:spacing w:line="360" w:lineRule="auto"/>
        <w:jc w:val="both"/>
        <w:rPr>
          <w:rFonts w:ascii="Arial" w:hAnsi="Arial" w:cs="Arial"/>
          <w:sz w:val="24"/>
          <w:szCs w:val="24"/>
        </w:rPr>
      </w:pPr>
      <w:r>
        <w:rPr>
          <w:rFonts w:ascii="Arial" w:hAnsi="Arial" w:cs="Arial"/>
          <w:sz w:val="24"/>
          <w:szCs w:val="24"/>
        </w:rPr>
        <w:t xml:space="preserve">                </w:t>
      </w:r>
      <w:r w:rsidRPr="008660BE">
        <w:rPr>
          <w:rFonts w:ascii="Arial" w:hAnsi="Arial" w:cs="Arial"/>
          <w:sz w:val="24"/>
          <w:szCs w:val="24"/>
        </w:rPr>
        <w:t>Depois de institucionalizada, cada instituição de ensino superior</w:t>
      </w:r>
      <w:r>
        <w:rPr>
          <w:rFonts w:ascii="Arial" w:hAnsi="Arial" w:cs="Arial"/>
          <w:sz w:val="24"/>
          <w:szCs w:val="24"/>
        </w:rPr>
        <w:t xml:space="preserve"> (IES)</w:t>
      </w:r>
      <w:r w:rsidRPr="008660BE">
        <w:rPr>
          <w:rFonts w:ascii="Arial" w:hAnsi="Arial" w:cs="Arial"/>
          <w:sz w:val="24"/>
          <w:szCs w:val="24"/>
        </w:rPr>
        <w:t xml:space="preserve"> iniciou suas atividades extensionistas, sendo assim, todo o conjunto de ações envolvendo a sociedade ficou caracterizado como Extensão.</w:t>
      </w:r>
    </w:p>
    <w:p w:rsidR="009617B8" w:rsidRDefault="009617B8" w:rsidP="009617B8">
      <w:pPr>
        <w:tabs>
          <w:tab w:val="left" w:pos="5520"/>
        </w:tabs>
        <w:spacing w:line="360" w:lineRule="auto"/>
        <w:jc w:val="both"/>
        <w:rPr>
          <w:rFonts w:ascii="Arial" w:hAnsi="Arial" w:cs="Arial"/>
          <w:sz w:val="24"/>
          <w:szCs w:val="24"/>
          <w:shd w:val="clear" w:color="auto" w:fill="FFFFFF"/>
        </w:rPr>
      </w:pPr>
      <w:r>
        <w:rPr>
          <w:rFonts w:ascii="Arial" w:hAnsi="Arial" w:cs="Arial"/>
          <w:sz w:val="24"/>
          <w:szCs w:val="24"/>
        </w:rPr>
        <w:t xml:space="preserve">               </w:t>
      </w:r>
      <w:r w:rsidRPr="008660BE">
        <w:rPr>
          <w:rFonts w:ascii="Arial" w:hAnsi="Arial" w:cs="Arial"/>
          <w:sz w:val="24"/>
          <w:szCs w:val="24"/>
        </w:rPr>
        <w:t xml:space="preserve">A extensão universitária garante a </w:t>
      </w:r>
      <w:r w:rsidRPr="00D76DBD">
        <w:rPr>
          <w:rFonts w:ascii="Arial" w:hAnsi="Arial" w:cs="Arial"/>
          <w:sz w:val="24"/>
          <w:szCs w:val="24"/>
          <w:shd w:val="clear" w:color="auto" w:fill="FFFFFF"/>
        </w:rPr>
        <w:t>comunicação entre universidade e sociedade, que tem como objetivo promover a troca de saberes científicos e espontâneos, de modo que ambos os conhecimentos se complementem sem que haja uma hierarquia, e realizando mudanças positivas para a sociedade.</w:t>
      </w:r>
    </w:p>
    <w:p w:rsidR="009617B8" w:rsidRPr="00D76DBD" w:rsidRDefault="009617B8" w:rsidP="009617B8">
      <w:pPr>
        <w:tabs>
          <w:tab w:val="left" w:pos="5520"/>
        </w:tabs>
        <w:spacing w:line="360" w:lineRule="auto"/>
        <w:jc w:val="both"/>
        <w:rPr>
          <w:rFonts w:ascii="Arial" w:hAnsi="Arial" w:cs="Arial"/>
          <w:sz w:val="24"/>
          <w:szCs w:val="24"/>
        </w:rPr>
      </w:pPr>
      <w:r>
        <w:rPr>
          <w:rFonts w:ascii="Arial" w:hAnsi="Arial" w:cs="Arial"/>
          <w:sz w:val="24"/>
          <w:szCs w:val="24"/>
        </w:rPr>
        <w:t xml:space="preserve">            A comunicação entre a IES e a sociedade civil deve acontecer de maneira que a ação retribua à sociedade, em forma de prestação de serviço, a oportunidade de aprendizado adquirido durante o período que o estudante permaneceu na IES. </w:t>
      </w:r>
    </w:p>
    <w:p w:rsidR="009617B8" w:rsidRPr="00D759ED" w:rsidRDefault="009617B8" w:rsidP="009617B8">
      <w:pPr>
        <w:tabs>
          <w:tab w:val="left" w:pos="5520"/>
        </w:tabs>
        <w:rPr>
          <w:rFonts w:ascii="Arial" w:hAnsi="Arial" w:cs="Arial"/>
          <w:b/>
          <w:sz w:val="24"/>
          <w:szCs w:val="24"/>
        </w:rPr>
      </w:pPr>
      <w:r w:rsidRPr="00D759ED">
        <w:rPr>
          <w:rFonts w:ascii="Arial" w:hAnsi="Arial" w:cs="Arial"/>
          <w:b/>
          <w:sz w:val="24"/>
          <w:szCs w:val="24"/>
        </w:rPr>
        <w:t>3 CONTEXTUALIZANDO A EXTENSÃO NO GAMA – DISTRITO FEDERAL</w:t>
      </w:r>
    </w:p>
    <w:p w:rsidR="009617B8" w:rsidRPr="00DF64A7" w:rsidRDefault="009617B8" w:rsidP="009617B8">
      <w:pPr>
        <w:tabs>
          <w:tab w:val="left" w:pos="5520"/>
        </w:tabs>
        <w:rPr>
          <w:rFonts w:ascii="Arial" w:hAnsi="Arial" w:cs="Arial"/>
          <w:sz w:val="24"/>
          <w:szCs w:val="24"/>
        </w:rPr>
      </w:pPr>
    </w:p>
    <w:p w:rsidR="009617B8" w:rsidRPr="00835F1C" w:rsidRDefault="009617B8" w:rsidP="009617B8">
      <w:pPr>
        <w:tabs>
          <w:tab w:val="left" w:pos="5520"/>
        </w:tabs>
        <w:spacing w:line="360" w:lineRule="auto"/>
        <w:jc w:val="both"/>
        <w:rPr>
          <w:rFonts w:ascii="Arial" w:hAnsi="Arial" w:cs="Arial"/>
          <w:sz w:val="24"/>
          <w:szCs w:val="24"/>
        </w:rPr>
      </w:pPr>
      <w:r>
        <w:rPr>
          <w:rFonts w:ascii="Arial" w:hAnsi="Arial" w:cs="Arial"/>
          <w:sz w:val="24"/>
          <w:szCs w:val="24"/>
        </w:rPr>
        <w:t xml:space="preserve">            </w:t>
      </w:r>
      <w:r w:rsidRPr="00835F1C">
        <w:rPr>
          <w:rFonts w:ascii="Arial" w:hAnsi="Arial" w:cs="Arial"/>
          <w:sz w:val="24"/>
          <w:szCs w:val="24"/>
        </w:rPr>
        <w:t xml:space="preserve">A cidade do Gama está localizada em Brasília, no Distrito Federal, sendo a segunda Região Administrativa entre as 31 que constituem o Distrito Federal. Segundo os dados da Pesquisa Distrital por Amostra de Domicílios - PDAD 2015 a população urbana estimada do Gama é de 141.911 habitantes enquanto no </w:t>
      </w:r>
      <w:r w:rsidRPr="00835F1C">
        <w:rPr>
          <w:rFonts w:ascii="Arial" w:hAnsi="Arial" w:cs="Arial"/>
          <w:sz w:val="24"/>
          <w:szCs w:val="24"/>
        </w:rPr>
        <w:lastRenderedPageBreak/>
        <w:t xml:space="preserve">ano de 2013 era de 134.958 A taxa média geométrica de crescimento anual de Gama, entre as duas </w:t>
      </w:r>
      <w:proofErr w:type="spellStart"/>
      <w:r w:rsidRPr="00835F1C">
        <w:rPr>
          <w:rFonts w:ascii="Arial" w:hAnsi="Arial" w:cs="Arial"/>
          <w:sz w:val="24"/>
          <w:szCs w:val="24"/>
        </w:rPr>
        <w:t>PDADs</w:t>
      </w:r>
      <w:proofErr w:type="spellEnd"/>
      <w:r w:rsidRPr="00835F1C">
        <w:rPr>
          <w:rFonts w:ascii="Arial" w:hAnsi="Arial" w:cs="Arial"/>
          <w:sz w:val="24"/>
          <w:szCs w:val="24"/>
        </w:rPr>
        <w:t xml:space="preserve"> 2013-2015, é 2,54% ao ano. A maior parte da população é constituída por mulheres, 52,62%. Do total de habitantes desta Região Administrativa, 16,60% têm até 14 anos de idade. No grupo de 15 a 59 anos que concentra a força de trabalho, encontram-se 64,3% do </w:t>
      </w:r>
      <w:proofErr w:type="spellStart"/>
      <w:proofErr w:type="gramStart"/>
      <w:r w:rsidRPr="00835F1C">
        <w:rPr>
          <w:rFonts w:ascii="Arial" w:hAnsi="Arial" w:cs="Arial"/>
          <w:sz w:val="24"/>
          <w:szCs w:val="24"/>
        </w:rPr>
        <w:t>total.A</w:t>
      </w:r>
      <w:proofErr w:type="spellEnd"/>
      <w:proofErr w:type="gramEnd"/>
      <w:r w:rsidRPr="00835F1C">
        <w:rPr>
          <w:rFonts w:ascii="Arial" w:hAnsi="Arial" w:cs="Arial"/>
          <w:sz w:val="24"/>
          <w:szCs w:val="24"/>
        </w:rPr>
        <w:t xml:space="preserve"> faixa etária de 60 anos ou mais é representada pelo total de 19,10% dos habitantes.</w:t>
      </w:r>
      <w:r>
        <w:rPr>
          <w:rFonts w:ascii="Arial" w:hAnsi="Arial" w:cs="Arial"/>
          <w:sz w:val="24"/>
          <w:szCs w:val="24"/>
        </w:rPr>
        <w:t xml:space="preserve"> </w:t>
      </w:r>
      <w:r w:rsidRPr="00835F1C">
        <w:rPr>
          <w:rFonts w:ascii="Arial" w:hAnsi="Arial" w:cs="Arial"/>
          <w:sz w:val="24"/>
          <w:szCs w:val="24"/>
        </w:rPr>
        <w:t>Quanto ao nível de escolaridade, 2,27% declararam ser analfabetos. Esse percentual passa para 2,31% quando somado aos que somente sabem ler e escrever e aos que fizeram ou fazem curso de alfabetização de adultos. A maior participação concentra-se na categoria dos que tem o nível fundamental incompleto 32,96%, seguido dos que têm o ensino médio completo (25,85%). Vale destacar que somente 0,86% da população do Gama não teve acesso ou não concluiu o ensino fundamental e o ensino médio em idade apropriada, tendo em vista serem oriundos ou frequentarem o EJA – Educação de Jovens e Adultos. Os que concluíram o curso superior, incluindo especialização, mestrado e doutorado, somam 12,66%.</w:t>
      </w:r>
    </w:p>
    <w:p w:rsidR="009617B8" w:rsidRDefault="009617B8" w:rsidP="009617B8">
      <w:pPr>
        <w:tabs>
          <w:tab w:val="left" w:pos="5520"/>
        </w:tabs>
        <w:spacing w:line="360" w:lineRule="auto"/>
        <w:jc w:val="both"/>
        <w:rPr>
          <w:rFonts w:ascii="Arial" w:hAnsi="Arial" w:cs="Arial"/>
          <w:sz w:val="24"/>
          <w:szCs w:val="24"/>
        </w:rPr>
      </w:pPr>
      <w:r>
        <w:rPr>
          <w:rFonts w:ascii="Arial" w:hAnsi="Arial" w:cs="Arial"/>
          <w:sz w:val="24"/>
          <w:szCs w:val="24"/>
        </w:rPr>
        <w:t xml:space="preserve">             </w:t>
      </w:r>
      <w:r w:rsidRPr="00835F1C">
        <w:rPr>
          <w:rFonts w:ascii="Arial" w:hAnsi="Arial" w:cs="Arial"/>
          <w:sz w:val="24"/>
          <w:szCs w:val="24"/>
        </w:rPr>
        <w:t xml:space="preserve">Área formada por 12 municípios goianos localizados na região de entorno do DF e caracterizada por alta densidade populacional (3.716.996 habitantes; IBGE; ano 2010), baixa renda e qualidade de vida. Também são de grande deficiência nesta região próxima a Brasília a mobilidade urbana, a segurança, a saúde e a educação. A área metropolitana de Brasília, de alta vulnerabilidade social, é composta por: -Águas Lindas de Goiás -Alexânia -Cidade Ocidental -Cocalzinho de Goiás -Cristalina -Formosa -Luziânia -Novo Gama -Padre Bernardo -Planaltina de Goiás -Santo Antônio do Descoberto -Valparaíso de Goiás Enquanto o Distrito Federal ocupa a 9ª posição no ranking de IDHM (índice de desenvolvimento humano municipal que considera as dimensões de longevidade, educação e renda) em relação ao Brasil, de acordo com dados da CODEPLAN (2013), estes municípios ocupam, respectivamente, de Águas Lindas de Goiás para Valparaíso de Goiás, as posições 2282ª, 2386ª, 1398ª, 2964ª, 1934ª, 667ª, 1866ª, 2332ª, 3090ª, 2691ª, 2776ª e 628ª. A região </w:t>
      </w:r>
      <w:r w:rsidRPr="00835F1C">
        <w:rPr>
          <w:rFonts w:ascii="Arial" w:hAnsi="Arial" w:cs="Arial"/>
          <w:sz w:val="24"/>
          <w:szCs w:val="24"/>
        </w:rPr>
        <w:lastRenderedPageBreak/>
        <w:t xml:space="preserve">apresenta grande necessidade de integração e desenvolvimento com o Distrito Federal. </w:t>
      </w:r>
    </w:p>
    <w:p w:rsidR="009617B8" w:rsidRPr="00835F1C" w:rsidRDefault="009617B8" w:rsidP="009617B8">
      <w:pPr>
        <w:tabs>
          <w:tab w:val="left" w:pos="5520"/>
        </w:tabs>
        <w:spacing w:line="360" w:lineRule="auto"/>
        <w:jc w:val="both"/>
        <w:rPr>
          <w:rFonts w:ascii="Arial" w:hAnsi="Arial" w:cs="Arial"/>
          <w:sz w:val="24"/>
          <w:szCs w:val="24"/>
        </w:rPr>
      </w:pPr>
      <w:r>
        <w:rPr>
          <w:rFonts w:ascii="Arial" w:hAnsi="Arial" w:cs="Arial"/>
          <w:sz w:val="24"/>
          <w:szCs w:val="24"/>
        </w:rPr>
        <w:t xml:space="preserve">            </w:t>
      </w:r>
      <w:r w:rsidRPr="00835F1C">
        <w:rPr>
          <w:rFonts w:ascii="Arial" w:hAnsi="Arial" w:cs="Arial"/>
          <w:sz w:val="24"/>
          <w:szCs w:val="24"/>
        </w:rPr>
        <w:t>A via educativa tem sido uma das soluções para essa região de entorno do DF, considerando a localização d</w:t>
      </w:r>
      <w:r>
        <w:rPr>
          <w:rFonts w:ascii="Arial" w:hAnsi="Arial" w:cs="Arial"/>
          <w:sz w:val="24"/>
          <w:szCs w:val="24"/>
        </w:rPr>
        <w:t>o</w:t>
      </w:r>
      <w:r w:rsidRPr="00835F1C">
        <w:rPr>
          <w:rFonts w:ascii="Arial" w:hAnsi="Arial" w:cs="Arial"/>
          <w:sz w:val="24"/>
          <w:szCs w:val="24"/>
        </w:rPr>
        <w:t xml:space="preserve"> </w:t>
      </w:r>
      <w:r>
        <w:rPr>
          <w:rFonts w:ascii="Arial" w:hAnsi="Arial" w:cs="Arial"/>
          <w:sz w:val="24"/>
          <w:szCs w:val="24"/>
        </w:rPr>
        <w:t>UNICEPLAC</w:t>
      </w:r>
      <w:r w:rsidRPr="00835F1C">
        <w:rPr>
          <w:rFonts w:ascii="Arial" w:hAnsi="Arial" w:cs="Arial"/>
          <w:sz w:val="24"/>
          <w:szCs w:val="24"/>
        </w:rPr>
        <w:t xml:space="preserve"> no Gama-DF, geograficamente nos limites entre Brasília e muitos destes municípios, especialmente considerando os fluxos de desenvolvimento que são produzidos pelas atividades e projetos de extensão universitária, promovendo a melhoria das condições de vida para as pessoas daquela região.</w:t>
      </w:r>
    </w:p>
    <w:p w:rsidR="009617B8" w:rsidRPr="00D759ED" w:rsidRDefault="009617B8" w:rsidP="009617B8">
      <w:pPr>
        <w:tabs>
          <w:tab w:val="left" w:pos="5520"/>
        </w:tabs>
        <w:rPr>
          <w:rFonts w:ascii="Arial" w:hAnsi="Arial" w:cs="Arial"/>
          <w:b/>
          <w:sz w:val="24"/>
          <w:szCs w:val="24"/>
        </w:rPr>
      </w:pPr>
      <w:r w:rsidRPr="00D759ED">
        <w:rPr>
          <w:rFonts w:ascii="Arial" w:hAnsi="Arial" w:cs="Arial"/>
          <w:b/>
          <w:sz w:val="24"/>
          <w:szCs w:val="24"/>
        </w:rPr>
        <w:t>4 A EXTENSÃO NO UNICEPLAC</w:t>
      </w:r>
    </w:p>
    <w:p w:rsidR="009617B8" w:rsidRPr="00D759ED" w:rsidRDefault="009617B8" w:rsidP="009617B8">
      <w:pPr>
        <w:tabs>
          <w:tab w:val="left" w:pos="5520"/>
        </w:tabs>
        <w:rPr>
          <w:rFonts w:ascii="Arial" w:hAnsi="Arial" w:cs="Arial"/>
          <w:b/>
          <w:sz w:val="24"/>
          <w:szCs w:val="24"/>
        </w:rPr>
      </w:pPr>
    </w:p>
    <w:p w:rsidR="009617B8" w:rsidRPr="00D759ED" w:rsidRDefault="009617B8" w:rsidP="009617B8">
      <w:pPr>
        <w:tabs>
          <w:tab w:val="left" w:pos="5520"/>
        </w:tabs>
        <w:rPr>
          <w:rFonts w:ascii="Arial" w:hAnsi="Arial" w:cs="Arial"/>
          <w:b/>
          <w:sz w:val="24"/>
          <w:szCs w:val="24"/>
        </w:rPr>
      </w:pPr>
      <w:r w:rsidRPr="00D759ED">
        <w:rPr>
          <w:rFonts w:ascii="Arial" w:hAnsi="Arial" w:cs="Arial"/>
          <w:b/>
          <w:sz w:val="24"/>
          <w:szCs w:val="24"/>
        </w:rPr>
        <w:t>4.1 Os Objetivos da Extensão</w:t>
      </w:r>
    </w:p>
    <w:p w:rsidR="009617B8" w:rsidRPr="00835F1C" w:rsidRDefault="009617B8" w:rsidP="009617B8">
      <w:pPr>
        <w:tabs>
          <w:tab w:val="left" w:pos="5520"/>
        </w:tabs>
        <w:rPr>
          <w:rFonts w:ascii="Arial" w:hAnsi="Arial" w:cs="Arial"/>
          <w:sz w:val="24"/>
          <w:szCs w:val="24"/>
        </w:rPr>
      </w:pPr>
    </w:p>
    <w:p w:rsidR="009617B8" w:rsidRPr="00835F1C" w:rsidRDefault="009617B8" w:rsidP="009617B8">
      <w:pPr>
        <w:tabs>
          <w:tab w:val="left" w:pos="5520"/>
        </w:tabs>
        <w:spacing w:line="360" w:lineRule="auto"/>
        <w:rPr>
          <w:rFonts w:ascii="Arial" w:hAnsi="Arial" w:cs="Arial"/>
          <w:sz w:val="24"/>
          <w:szCs w:val="24"/>
        </w:rPr>
      </w:pPr>
      <w:r w:rsidRPr="00835F1C">
        <w:rPr>
          <w:rFonts w:ascii="Arial" w:hAnsi="Arial" w:cs="Arial"/>
          <w:sz w:val="24"/>
          <w:szCs w:val="24"/>
        </w:rPr>
        <w:t xml:space="preserve">          Um dos objetivos principais da Extensão no UNICELAC vem de encontro com os objetivos traçados no Plano Nacional de Extensão:</w:t>
      </w:r>
    </w:p>
    <w:p w:rsidR="009617B8" w:rsidRPr="00835F1C" w:rsidRDefault="009617B8" w:rsidP="009617B8">
      <w:pPr>
        <w:tabs>
          <w:tab w:val="left" w:pos="5520"/>
        </w:tabs>
        <w:spacing w:line="360" w:lineRule="auto"/>
        <w:rPr>
          <w:rFonts w:ascii="Arial" w:hAnsi="Arial" w:cs="Arial"/>
          <w:sz w:val="24"/>
          <w:szCs w:val="24"/>
        </w:rPr>
      </w:pPr>
      <w:r w:rsidRPr="00835F1C">
        <w:rPr>
          <w:rFonts w:ascii="Arial" w:hAnsi="Arial" w:cs="Arial"/>
          <w:sz w:val="24"/>
          <w:szCs w:val="24"/>
        </w:rPr>
        <w:t xml:space="preserve">          Estimular atividades de Extensão cujo desenvolvimento implique relações </w:t>
      </w:r>
      <w:proofErr w:type="spellStart"/>
      <w:r w:rsidRPr="00835F1C">
        <w:rPr>
          <w:rFonts w:ascii="Arial" w:hAnsi="Arial" w:cs="Arial"/>
          <w:sz w:val="24"/>
          <w:szCs w:val="24"/>
        </w:rPr>
        <w:t>multi</w:t>
      </w:r>
      <w:proofErr w:type="spellEnd"/>
      <w:r w:rsidRPr="00835F1C">
        <w:rPr>
          <w:rFonts w:ascii="Arial" w:hAnsi="Arial" w:cs="Arial"/>
          <w:sz w:val="24"/>
          <w:szCs w:val="24"/>
        </w:rPr>
        <w:t xml:space="preserve">, </w:t>
      </w:r>
      <w:proofErr w:type="spellStart"/>
      <w:r w:rsidRPr="00835F1C">
        <w:rPr>
          <w:rFonts w:ascii="Arial" w:hAnsi="Arial" w:cs="Arial"/>
          <w:sz w:val="24"/>
          <w:szCs w:val="24"/>
        </w:rPr>
        <w:t>inter</w:t>
      </w:r>
      <w:proofErr w:type="spellEnd"/>
      <w:r w:rsidRPr="00835F1C">
        <w:rPr>
          <w:rFonts w:ascii="Arial" w:hAnsi="Arial" w:cs="Arial"/>
          <w:sz w:val="24"/>
          <w:szCs w:val="24"/>
        </w:rPr>
        <w:t xml:space="preserve"> e </w:t>
      </w:r>
      <w:r>
        <w:rPr>
          <w:rFonts w:ascii="Arial" w:hAnsi="Arial" w:cs="Arial"/>
          <w:sz w:val="24"/>
          <w:szCs w:val="24"/>
        </w:rPr>
        <w:t>/</w:t>
      </w:r>
      <w:r w:rsidRPr="00835F1C">
        <w:rPr>
          <w:rFonts w:ascii="Arial" w:hAnsi="Arial" w:cs="Arial"/>
          <w:sz w:val="24"/>
          <w:szCs w:val="24"/>
        </w:rPr>
        <w:t>ou transdisciplinares e interprofissionais de setores do Centro Universitário e da sociedade.</w:t>
      </w:r>
    </w:p>
    <w:p w:rsidR="009617B8" w:rsidRPr="00835F1C" w:rsidRDefault="009617B8" w:rsidP="009617B8">
      <w:pPr>
        <w:tabs>
          <w:tab w:val="left" w:pos="5520"/>
        </w:tabs>
        <w:spacing w:line="360" w:lineRule="auto"/>
        <w:rPr>
          <w:rFonts w:ascii="Arial" w:hAnsi="Arial" w:cs="Arial"/>
          <w:sz w:val="24"/>
          <w:szCs w:val="24"/>
        </w:rPr>
      </w:pPr>
      <w:r w:rsidRPr="00835F1C">
        <w:rPr>
          <w:rFonts w:ascii="Arial" w:hAnsi="Arial" w:cs="Arial"/>
          <w:sz w:val="24"/>
          <w:szCs w:val="24"/>
        </w:rPr>
        <w:t xml:space="preserve">           Conforme estabelecido no Regulamento, o UNICEPLAC visa:</w:t>
      </w:r>
    </w:p>
    <w:p w:rsidR="009617B8" w:rsidRDefault="009617B8" w:rsidP="009617B8">
      <w:pPr>
        <w:pStyle w:val="PargrafodaLista"/>
        <w:numPr>
          <w:ilvl w:val="0"/>
          <w:numId w:val="5"/>
        </w:numPr>
        <w:shd w:val="clear" w:color="auto" w:fill="FFFFFF"/>
        <w:tabs>
          <w:tab w:val="left" w:pos="1134"/>
        </w:tabs>
        <w:spacing w:line="360" w:lineRule="auto"/>
        <w:ind w:left="284" w:firstLine="0"/>
        <w:contextualSpacing/>
        <w:jc w:val="both"/>
        <w:rPr>
          <w:rFonts w:ascii="Arial" w:hAnsi="Arial" w:cs="Arial"/>
          <w:color w:val="000000"/>
        </w:rPr>
      </w:pPr>
      <w:r w:rsidRPr="00D03296">
        <w:rPr>
          <w:rFonts w:ascii="Arial" w:hAnsi="Arial" w:cs="Arial"/>
          <w:color w:val="000000"/>
        </w:rPr>
        <w:t>estabelecer a integração entre o ensino, a pesquisa e a realidade educacional;</w:t>
      </w:r>
    </w:p>
    <w:p w:rsidR="009617B8" w:rsidRPr="00D03296" w:rsidRDefault="009617B8" w:rsidP="009617B8">
      <w:pPr>
        <w:pStyle w:val="PargrafodaLista"/>
        <w:numPr>
          <w:ilvl w:val="0"/>
          <w:numId w:val="5"/>
        </w:numPr>
        <w:shd w:val="clear" w:color="auto" w:fill="FFFFFF"/>
        <w:tabs>
          <w:tab w:val="left" w:pos="1134"/>
        </w:tabs>
        <w:spacing w:line="360" w:lineRule="auto"/>
        <w:ind w:left="284" w:firstLine="0"/>
        <w:contextualSpacing/>
        <w:jc w:val="both"/>
        <w:rPr>
          <w:rFonts w:ascii="Arial" w:hAnsi="Arial" w:cs="Arial"/>
          <w:color w:val="000000"/>
        </w:rPr>
      </w:pPr>
      <w:r w:rsidRPr="00D03296">
        <w:rPr>
          <w:rFonts w:ascii="Arial" w:hAnsi="Arial" w:cs="Arial"/>
          <w:color w:val="000000"/>
        </w:rPr>
        <w:t>capacitar os discentes para atender as exigências do mercado de trabalho, assim como as necessidades sociais;</w:t>
      </w:r>
    </w:p>
    <w:p w:rsidR="009617B8" w:rsidRPr="00D03296" w:rsidRDefault="009617B8" w:rsidP="009617B8">
      <w:pPr>
        <w:pStyle w:val="PargrafodaLista"/>
        <w:numPr>
          <w:ilvl w:val="0"/>
          <w:numId w:val="5"/>
        </w:numPr>
        <w:shd w:val="clear" w:color="auto" w:fill="FFFFFF"/>
        <w:tabs>
          <w:tab w:val="left" w:pos="1134"/>
        </w:tabs>
        <w:spacing w:line="360" w:lineRule="auto"/>
        <w:ind w:left="284" w:firstLine="0"/>
        <w:contextualSpacing/>
        <w:jc w:val="both"/>
        <w:rPr>
          <w:rFonts w:ascii="Arial" w:hAnsi="Arial" w:cs="Arial"/>
          <w:color w:val="000000"/>
        </w:rPr>
      </w:pPr>
      <w:r w:rsidRPr="00D03296">
        <w:rPr>
          <w:rFonts w:ascii="Arial" w:hAnsi="Arial" w:cs="Arial"/>
          <w:color w:val="000000"/>
        </w:rPr>
        <w:t xml:space="preserve">contribuir para a melhoria dos padrões </w:t>
      </w:r>
      <w:proofErr w:type="spellStart"/>
      <w:r w:rsidRPr="00D03296">
        <w:rPr>
          <w:rFonts w:ascii="Arial" w:hAnsi="Arial" w:cs="Arial"/>
          <w:color w:val="000000"/>
        </w:rPr>
        <w:t>sócio-econômicos</w:t>
      </w:r>
      <w:proofErr w:type="spellEnd"/>
      <w:r w:rsidRPr="00D03296">
        <w:rPr>
          <w:rFonts w:ascii="Arial" w:hAnsi="Arial" w:cs="Arial"/>
          <w:color w:val="000000"/>
        </w:rPr>
        <w:t>, políticos e culturais da comunidade;</w:t>
      </w:r>
    </w:p>
    <w:p w:rsidR="009617B8" w:rsidRPr="00D03296" w:rsidRDefault="009617B8" w:rsidP="009617B8">
      <w:pPr>
        <w:pStyle w:val="PargrafodaLista"/>
        <w:numPr>
          <w:ilvl w:val="0"/>
          <w:numId w:val="5"/>
        </w:numPr>
        <w:shd w:val="clear" w:color="auto" w:fill="FFFFFF"/>
        <w:tabs>
          <w:tab w:val="left" w:pos="1134"/>
        </w:tabs>
        <w:spacing w:line="360" w:lineRule="auto"/>
        <w:ind w:left="284" w:firstLine="0"/>
        <w:contextualSpacing/>
        <w:jc w:val="both"/>
        <w:rPr>
          <w:rFonts w:ascii="Arial" w:hAnsi="Arial" w:cs="Arial"/>
          <w:color w:val="000000"/>
        </w:rPr>
      </w:pPr>
      <w:r w:rsidRPr="00D03296">
        <w:rPr>
          <w:rFonts w:ascii="Arial" w:hAnsi="Arial" w:cs="Arial"/>
          <w:color w:val="000000"/>
        </w:rPr>
        <w:t>estimular e apoiar o corpo docente e discente na publicação e divulgação de suas produções acadêmicas;</w:t>
      </w:r>
    </w:p>
    <w:p w:rsidR="009617B8" w:rsidRPr="004F268C" w:rsidRDefault="009617B8" w:rsidP="009617B8">
      <w:pPr>
        <w:pStyle w:val="PargrafodaLista"/>
        <w:numPr>
          <w:ilvl w:val="0"/>
          <w:numId w:val="5"/>
        </w:numPr>
        <w:shd w:val="clear" w:color="auto" w:fill="FFFFFF"/>
        <w:tabs>
          <w:tab w:val="left" w:pos="1134"/>
        </w:tabs>
        <w:spacing w:line="360" w:lineRule="auto"/>
        <w:ind w:left="284" w:firstLine="0"/>
        <w:contextualSpacing/>
        <w:jc w:val="both"/>
        <w:rPr>
          <w:rFonts w:ascii="Arial" w:hAnsi="Arial" w:cs="Arial"/>
        </w:rPr>
      </w:pPr>
      <w:r w:rsidRPr="00D03296">
        <w:rPr>
          <w:rFonts w:ascii="Arial" w:hAnsi="Arial" w:cs="Arial"/>
          <w:color w:val="000000"/>
        </w:rPr>
        <w:t>realizar cursos e eventos a partir das necessidades e demanda dos discentes, docentes e da comunidade</w:t>
      </w:r>
      <w:r>
        <w:rPr>
          <w:rFonts w:ascii="Arial" w:hAnsi="Arial" w:cs="Arial"/>
          <w:color w:val="000000"/>
        </w:rPr>
        <w:t xml:space="preserve">, </w:t>
      </w:r>
      <w:r w:rsidRPr="004F268C">
        <w:rPr>
          <w:rFonts w:ascii="Arial" w:hAnsi="Arial" w:cs="Arial"/>
        </w:rPr>
        <w:t>utilizando-se da modalidade presencial e a distância.</w:t>
      </w:r>
    </w:p>
    <w:p w:rsidR="009617B8" w:rsidRDefault="009617B8" w:rsidP="009617B8">
      <w:pPr>
        <w:tabs>
          <w:tab w:val="left" w:pos="5520"/>
        </w:tabs>
      </w:pPr>
    </w:p>
    <w:p w:rsidR="009617B8" w:rsidRPr="00D759ED" w:rsidRDefault="009617B8" w:rsidP="009617B8">
      <w:pPr>
        <w:tabs>
          <w:tab w:val="left" w:pos="5520"/>
        </w:tabs>
        <w:rPr>
          <w:rFonts w:ascii="Arial" w:hAnsi="Arial" w:cs="Arial"/>
          <w:b/>
          <w:sz w:val="24"/>
          <w:szCs w:val="24"/>
        </w:rPr>
      </w:pPr>
      <w:r w:rsidRPr="00D759ED">
        <w:rPr>
          <w:rFonts w:ascii="Arial" w:hAnsi="Arial" w:cs="Arial"/>
          <w:b/>
          <w:sz w:val="24"/>
          <w:szCs w:val="24"/>
        </w:rPr>
        <w:t xml:space="preserve">4.2 Eixos e linhas de pesquisa </w:t>
      </w:r>
    </w:p>
    <w:p w:rsidR="009617B8" w:rsidRDefault="009617B8" w:rsidP="009617B8">
      <w:pPr>
        <w:tabs>
          <w:tab w:val="left" w:pos="5520"/>
        </w:tabs>
        <w:spacing w:line="360" w:lineRule="auto"/>
        <w:rPr>
          <w:rFonts w:ascii="Arial" w:hAnsi="Arial" w:cs="Arial"/>
          <w:sz w:val="24"/>
          <w:szCs w:val="24"/>
        </w:rPr>
      </w:pPr>
      <w:r w:rsidRPr="002D1380">
        <w:rPr>
          <w:rFonts w:ascii="Arial" w:hAnsi="Arial" w:cs="Arial"/>
          <w:sz w:val="24"/>
          <w:szCs w:val="24"/>
        </w:rPr>
        <w:t xml:space="preserve">                As linhas de extensão servem para nortear as ações a serem apoiadas pela IES indicando ao professor que pretende propor um projeto, curso ou ação social, qual caminho seguir. Pensando nisso, um quadro foi criado:</w:t>
      </w:r>
    </w:p>
    <w:p w:rsidR="009617B8" w:rsidRPr="00AF5D51" w:rsidRDefault="009617B8" w:rsidP="009617B8">
      <w:pPr>
        <w:tabs>
          <w:tab w:val="left" w:pos="5520"/>
        </w:tabs>
        <w:spacing w:line="360" w:lineRule="auto"/>
        <w:rPr>
          <w:rFonts w:ascii="Arial" w:hAnsi="Arial" w:cs="Arial"/>
        </w:rPr>
      </w:pPr>
      <w:r w:rsidRPr="00AF5D51">
        <w:rPr>
          <w:rFonts w:ascii="Arial" w:hAnsi="Arial" w:cs="Arial"/>
        </w:rPr>
        <w:t>Quadro 1 – Descrição dos eixos e linhas de pesquisa para submissão de projetos extensionistas.</w:t>
      </w:r>
    </w:p>
    <w:p w:rsidR="009617B8" w:rsidRPr="00AF5D51" w:rsidRDefault="009617B8" w:rsidP="009617B8">
      <w:pPr>
        <w:tabs>
          <w:tab w:val="left" w:pos="5520"/>
        </w:tabs>
      </w:pPr>
    </w:p>
    <w:tbl>
      <w:tblPr>
        <w:tblStyle w:val="Tabelacomgrade"/>
        <w:tblW w:w="9894" w:type="dxa"/>
        <w:tblInd w:w="-572" w:type="dxa"/>
        <w:tblLayout w:type="fixed"/>
        <w:tblLook w:val="04A0" w:firstRow="1" w:lastRow="0" w:firstColumn="1" w:lastColumn="0" w:noHBand="0" w:noVBand="1"/>
      </w:tblPr>
      <w:tblGrid>
        <w:gridCol w:w="2240"/>
        <w:gridCol w:w="2693"/>
        <w:gridCol w:w="4961"/>
      </w:tblGrid>
      <w:tr w:rsidR="009617B8" w:rsidTr="00833947">
        <w:tc>
          <w:tcPr>
            <w:tcW w:w="2240" w:type="dxa"/>
            <w:shd w:val="clear" w:color="auto" w:fill="C5E0B3" w:themeFill="accent6" w:themeFillTint="66"/>
          </w:tcPr>
          <w:p w:rsidR="009617B8" w:rsidRDefault="009617B8" w:rsidP="00833947">
            <w:pPr>
              <w:jc w:val="center"/>
              <w:rPr>
                <w:b/>
                <w:sz w:val="24"/>
                <w:szCs w:val="24"/>
              </w:rPr>
            </w:pPr>
            <w:r>
              <w:rPr>
                <w:b/>
                <w:sz w:val="24"/>
                <w:szCs w:val="24"/>
              </w:rPr>
              <w:t>Eixos</w:t>
            </w:r>
          </w:p>
        </w:tc>
        <w:tc>
          <w:tcPr>
            <w:tcW w:w="2693" w:type="dxa"/>
            <w:shd w:val="clear" w:color="auto" w:fill="C5E0B3" w:themeFill="accent6" w:themeFillTint="66"/>
          </w:tcPr>
          <w:p w:rsidR="009617B8" w:rsidRPr="008E318F" w:rsidRDefault="009617B8" w:rsidP="00833947">
            <w:pPr>
              <w:jc w:val="center"/>
              <w:rPr>
                <w:b/>
                <w:sz w:val="24"/>
                <w:szCs w:val="24"/>
              </w:rPr>
            </w:pPr>
            <w:r>
              <w:rPr>
                <w:b/>
                <w:sz w:val="24"/>
                <w:szCs w:val="24"/>
              </w:rPr>
              <w:t xml:space="preserve">Linhas de Pesquisa </w:t>
            </w:r>
          </w:p>
        </w:tc>
        <w:tc>
          <w:tcPr>
            <w:tcW w:w="4961" w:type="dxa"/>
            <w:shd w:val="clear" w:color="auto" w:fill="C5E0B3" w:themeFill="accent6" w:themeFillTint="66"/>
          </w:tcPr>
          <w:p w:rsidR="009617B8" w:rsidRPr="008E318F" w:rsidRDefault="009617B8" w:rsidP="00833947">
            <w:pPr>
              <w:jc w:val="center"/>
              <w:rPr>
                <w:b/>
                <w:sz w:val="24"/>
                <w:szCs w:val="24"/>
              </w:rPr>
            </w:pPr>
            <w:r w:rsidRPr="008E318F">
              <w:rPr>
                <w:b/>
                <w:sz w:val="24"/>
                <w:szCs w:val="24"/>
              </w:rPr>
              <w:t>Descrição</w:t>
            </w:r>
          </w:p>
        </w:tc>
      </w:tr>
      <w:tr w:rsidR="009617B8" w:rsidTr="00833947">
        <w:tc>
          <w:tcPr>
            <w:tcW w:w="2240" w:type="dxa"/>
            <w:vMerge w:val="restart"/>
          </w:tcPr>
          <w:p w:rsidR="009617B8" w:rsidRPr="00FD4BBE" w:rsidRDefault="009617B8" w:rsidP="00833947">
            <w:pPr>
              <w:autoSpaceDE w:val="0"/>
              <w:autoSpaceDN w:val="0"/>
              <w:adjustRightInd w:val="0"/>
              <w:spacing w:before="120" w:after="120" w:line="360" w:lineRule="auto"/>
              <w:jc w:val="both"/>
              <w:rPr>
                <w:rFonts w:ascii="Arial" w:hAnsi="Arial" w:cs="Arial"/>
              </w:rPr>
            </w:pPr>
            <w:r w:rsidRPr="00FD4BBE">
              <w:rPr>
                <w:rFonts w:ascii="Arial" w:hAnsi="Arial" w:cs="Arial"/>
              </w:rPr>
              <w:t>Inclusão social e diversidade</w:t>
            </w:r>
          </w:p>
          <w:p w:rsidR="009617B8" w:rsidRPr="00FD4BBE" w:rsidRDefault="009617B8" w:rsidP="00833947">
            <w:pPr>
              <w:pStyle w:val="PargrafodaLista"/>
              <w:jc w:val="both"/>
              <w:rPr>
                <w:rFonts w:ascii="Arial" w:hAnsi="Arial" w:cs="Arial"/>
                <w:sz w:val="20"/>
                <w:szCs w:val="20"/>
              </w:rPr>
            </w:pPr>
          </w:p>
        </w:tc>
        <w:tc>
          <w:tcPr>
            <w:tcW w:w="2693" w:type="dxa"/>
          </w:tcPr>
          <w:p w:rsidR="009617B8" w:rsidRPr="00FD4BBE" w:rsidRDefault="009617B8" w:rsidP="009617B8">
            <w:pPr>
              <w:pStyle w:val="PargrafodaLista"/>
              <w:numPr>
                <w:ilvl w:val="0"/>
                <w:numId w:val="7"/>
              </w:numPr>
              <w:contextualSpacing/>
              <w:jc w:val="both"/>
              <w:rPr>
                <w:rFonts w:ascii="Arial" w:hAnsi="Arial" w:cs="Arial"/>
                <w:sz w:val="20"/>
                <w:szCs w:val="20"/>
              </w:rPr>
            </w:pPr>
            <w:r w:rsidRPr="00FD4BBE">
              <w:rPr>
                <w:rFonts w:ascii="Arial" w:hAnsi="Arial" w:cs="Arial"/>
                <w:sz w:val="20"/>
                <w:szCs w:val="20"/>
              </w:rPr>
              <w:t>Alfabetização, leitura e escrita</w:t>
            </w:r>
          </w:p>
        </w:tc>
        <w:tc>
          <w:tcPr>
            <w:tcW w:w="4961" w:type="dxa"/>
          </w:tcPr>
          <w:p w:rsidR="009617B8" w:rsidRPr="00FD4BBE" w:rsidRDefault="009617B8" w:rsidP="00833947">
            <w:pPr>
              <w:jc w:val="both"/>
              <w:rPr>
                <w:rFonts w:ascii="Arial" w:hAnsi="Arial" w:cs="Arial"/>
              </w:rPr>
            </w:pPr>
            <w:r w:rsidRPr="00FD4BBE">
              <w:rPr>
                <w:rFonts w:ascii="Arial" w:hAnsi="Arial" w:cs="Arial"/>
              </w:rPr>
              <w:t>Planejamento, implementação e avaliação de processos de alfabetização e letramento de crianças, jovens e adultos, visando à sua inserção social e construção da cidadania, formação do leitor e do produtor de textos, incentivo à leitura; desenvolvimento de metodologias de ensino e leitura e da escrita e sua inclusão nos projetos político-pedagógicos das escolas; formação, capacitação e qualificação de pessoas que atuam na área; produção e divulgação de informações, conhecimentos e de material didático na área; memória, produção e difusão cultural e artística.</w:t>
            </w:r>
          </w:p>
        </w:tc>
      </w:tr>
      <w:tr w:rsidR="009617B8" w:rsidTr="00833947">
        <w:tc>
          <w:tcPr>
            <w:tcW w:w="2240" w:type="dxa"/>
            <w:vMerge/>
          </w:tcPr>
          <w:p w:rsidR="009617B8" w:rsidRPr="00FD4BBE" w:rsidRDefault="009617B8" w:rsidP="00833947">
            <w:pPr>
              <w:jc w:val="both"/>
              <w:rPr>
                <w:rFonts w:ascii="Arial" w:hAnsi="Arial" w:cs="Arial"/>
              </w:rPr>
            </w:pPr>
          </w:p>
        </w:tc>
        <w:tc>
          <w:tcPr>
            <w:tcW w:w="2693" w:type="dxa"/>
          </w:tcPr>
          <w:p w:rsidR="009617B8" w:rsidRPr="00FD4BBE" w:rsidRDefault="009617B8" w:rsidP="009617B8">
            <w:pPr>
              <w:pStyle w:val="PargrafodaLista"/>
              <w:numPr>
                <w:ilvl w:val="0"/>
                <w:numId w:val="7"/>
              </w:numPr>
              <w:contextualSpacing/>
              <w:jc w:val="both"/>
              <w:rPr>
                <w:rFonts w:ascii="Arial" w:hAnsi="Arial" w:cs="Arial"/>
                <w:sz w:val="20"/>
                <w:szCs w:val="20"/>
              </w:rPr>
            </w:pPr>
            <w:r w:rsidRPr="00FD4BBE">
              <w:rPr>
                <w:rFonts w:ascii="Arial" w:hAnsi="Arial" w:cs="Arial"/>
                <w:sz w:val="20"/>
                <w:szCs w:val="20"/>
              </w:rPr>
              <w:t>Grupos sociais vulneráveis</w:t>
            </w:r>
          </w:p>
        </w:tc>
        <w:tc>
          <w:tcPr>
            <w:tcW w:w="4961" w:type="dxa"/>
          </w:tcPr>
          <w:p w:rsidR="009617B8" w:rsidRPr="00FD4BBE" w:rsidRDefault="009617B8" w:rsidP="00833947">
            <w:pPr>
              <w:jc w:val="both"/>
              <w:rPr>
                <w:rFonts w:ascii="Arial" w:hAnsi="Arial" w:cs="Arial"/>
              </w:rPr>
            </w:pPr>
            <w:r w:rsidRPr="00FD4BBE">
              <w:rPr>
                <w:rFonts w:ascii="Arial" w:hAnsi="Arial" w:cs="Arial"/>
              </w:rPr>
              <w:t>Planejamento, implementação e avaliação de processos de atenção (educação, saúde, assistência social, etc.) de emancipação, de respeito à identidade e inclusão desses grupos; promoção, defesa e garantia de direitos; desenvolvimento de metodologias de intervenção, tendo como objeto questões de gênero, de etnia, de orientação sexual, de diversidade cultural, de credos religiosos, promoção, defesa e garantia de direitos; ações especiais de prevenção e erradicação do trabalho infantil, dentre outros; formação, capacitação e qualificação de pessoas que atuam com esses segmentos; produção e divulgação de informações, conhecimentos e material didático na área. Infância e adolescência</w:t>
            </w:r>
          </w:p>
        </w:tc>
      </w:tr>
      <w:tr w:rsidR="009617B8" w:rsidTr="00833947">
        <w:tc>
          <w:tcPr>
            <w:tcW w:w="2240" w:type="dxa"/>
            <w:vMerge/>
          </w:tcPr>
          <w:p w:rsidR="009617B8" w:rsidRPr="00FD4BBE" w:rsidRDefault="009617B8" w:rsidP="00833947">
            <w:pPr>
              <w:jc w:val="both"/>
              <w:rPr>
                <w:rFonts w:ascii="Arial" w:hAnsi="Arial" w:cs="Arial"/>
              </w:rPr>
            </w:pPr>
          </w:p>
        </w:tc>
        <w:tc>
          <w:tcPr>
            <w:tcW w:w="2693" w:type="dxa"/>
          </w:tcPr>
          <w:p w:rsidR="009617B8" w:rsidRPr="00FD4BBE" w:rsidRDefault="009617B8" w:rsidP="009617B8">
            <w:pPr>
              <w:pStyle w:val="PargrafodaLista"/>
              <w:numPr>
                <w:ilvl w:val="0"/>
                <w:numId w:val="7"/>
              </w:numPr>
              <w:contextualSpacing/>
              <w:jc w:val="both"/>
              <w:rPr>
                <w:rFonts w:ascii="Arial" w:hAnsi="Arial" w:cs="Arial"/>
                <w:sz w:val="20"/>
                <w:szCs w:val="20"/>
              </w:rPr>
            </w:pPr>
            <w:r w:rsidRPr="00FD4BBE">
              <w:rPr>
                <w:rFonts w:ascii="Arial" w:hAnsi="Arial" w:cs="Arial"/>
                <w:sz w:val="20"/>
                <w:szCs w:val="20"/>
              </w:rPr>
              <w:t>Metodologia e estratégias de ensino/aprendizagem</w:t>
            </w:r>
          </w:p>
        </w:tc>
        <w:tc>
          <w:tcPr>
            <w:tcW w:w="4961" w:type="dxa"/>
          </w:tcPr>
          <w:p w:rsidR="009617B8" w:rsidRPr="00FD4BBE" w:rsidRDefault="009617B8" w:rsidP="00833947">
            <w:pPr>
              <w:jc w:val="both"/>
              <w:rPr>
                <w:rFonts w:ascii="Arial" w:hAnsi="Arial" w:cs="Arial"/>
              </w:rPr>
            </w:pPr>
            <w:r w:rsidRPr="00FD4BBE">
              <w:rPr>
                <w:rFonts w:ascii="Arial" w:hAnsi="Arial" w:cs="Arial"/>
              </w:rPr>
              <w:t xml:space="preserve">Desenvolvimento de programas e projetos, assessoria, consultoria, realização de eventos e outras ações visando à discussão de metodologias e estratégias especificas de ensino/aprendizagem, como a educação à distância e o ensino presencial e de processos de formação inicial, educação continuada a formação profissional; formação, capacitação e qualificação de pessoas que atuam na </w:t>
            </w:r>
            <w:r w:rsidRPr="00FD4BBE">
              <w:rPr>
                <w:rFonts w:ascii="Arial" w:hAnsi="Arial" w:cs="Arial"/>
              </w:rPr>
              <w:lastRenderedPageBreak/>
              <w:t>área; produção e divulgação de informações, conhecimentos e de material didático na área.</w:t>
            </w:r>
          </w:p>
        </w:tc>
      </w:tr>
      <w:tr w:rsidR="009617B8" w:rsidTr="00833947">
        <w:tc>
          <w:tcPr>
            <w:tcW w:w="2240" w:type="dxa"/>
            <w:vMerge/>
          </w:tcPr>
          <w:p w:rsidR="009617B8" w:rsidRPr="00FD4BBE" w:rsidRDefault="009617B8" w:rsidP="00833947">
            <w:pPr>
              <w:jc w:val="both"/>
              <w:rPr>
                <w:rFonts w:ascii="Arial" w:hAnsi="Arial" w:cs="Arial"/>
              </w:rPr>
            </w:pPr>
          </w:p>
        </w:tc>
        <w:tc>
          <w:tcPr>
            <w:tcW w:w="2693" w:type="dxa"/>
          </w:tcPr>
          <w:p w:rsidR="009617B8" w:rsidRPr="00FD4BBE" w:rsidRDefault="009617B8" w:rsidP="009617B8">
            <w:pPr>
              <w:pStyle w:val="PargrafodaLista"/>
              <w:numPr>
                <w:ilvl w:val="0"/>
                <w:numId w:val="7"/>
              </w:numPr>
              <w:contextualSpacing/>
              <w:jc w:val="both"/>
              <w:rPr>
                <w:rFonts w:ascii="Arial" w:hAnsi="Arial" w:cs="Arial"/>
                <w:sz w:val="20"/>
                <w:szCs w:val="20"/>
              </w:rPr>
            </w:pPr>
            <w:r w:rsidRPr="00FD4BBE">
              <w:rPr>
                <w:rFonts w:ascii="Arial" w:hAnsi="Arial" w:cs="Arial"/>
                <w:sz w:val="20"/>
                <w:szCs w:val="20"/>
              </w:rPr>
              <w:t>Acessibilidade</w:t>
            </w:r>
          </w:p>
        </w:tc>
        <w:tc>
          <w:tcPr>
            <w:tcW w:w="4961" w:type="dxa"/>
          </w:tcPr>
          <w:p w:rsidR="009617B8" w:rsidRPr="00FD4BBE" w:rsidRDefault="009617B8" w:rsidP="00833947">
            <w:pPr>
              <w:jc w:val="both"/>
              <w:rPr>
                <w:rFonts w:ascii="Arial" w:hAnsi="Arial" w:cs="Arial"/>
              </w:rPr>
            </w:pPr>
            <w:r w:rsidRPr="00FD4BBE">
              <w:rPr>
                <w:rFonts w:ascii="Arial" w:hAnsi="Arial" w:cs="Arial"/>
              </w:rPr>
              <w:t>Desenvolvimento de programas e projetos, assessoria, consultoria, realização de eventos e outras ações voltadas para o planejamento, implementação e avaliação de processos de atenção (educação, saúde, assistência social, etc.), de emancipação e inclusão de pessoas com deficiências, incapacidades físicas, sensoriais e mentais, síndromes, doenças crônicas, altas habilidades, dentre outras; promoção, defesa e garantia de direitos; desenvolvimento de metodologias de intervenção individual e coletiva, tendo como objeto enfocado na ação essas pessoas e suas famílias; formação, capacitação e qualificação de pessoas que atuam com esses segmentos; produção e divulgação de informações, conhecimentos e material didático na área.</w:t>
            </w:r>
          </w:p>
        </w:tc>
      </w:tr>
      <w:tr w:rsidR="009617B8" w:rsidTr="00833947">
        <w:tc>
          <w:tcPr>
            <w:tcW w:w="2240" w:type="dxa"/>
          </w:tcPr>
          <w:p w:rsidR="009617B8" w:rsidRPr="00FD4BBE" w:rsidRDefault="009617B8" w:rsidP="00833947">
            <w:pPr>
              <w:autoSpaceDE w:val="0"/>
              <w:autoSpaceDN w:val="0"/>
              <w:adjustRightInd w:val="0"/>
              <w:spacing w:before="120" w:after="120" w:line="360" w:lineRule="auto"/>
              <w:jc w:val="both"/>
              <w:rPr>
                <w:rFonts w:ascii="Arial" w:hAnsi="Arial" w:cs="Arial"/>
              </w:rPr>
            </w:pPr>
          </w:p>
        </w:tc>
        <w:tc>
          <w:tcPr>
            <w:tcW w:w="2693" w:type="dxa"/>
          </w:tcPr>
          <w:p w:rsidR="009617B8" w:rsidRPr="00FD4BBE" w:rsidRDefault="009617B8" w:rsidP="00833947">
            <w:pPr>
              <w:ind w:left="360"/>
              <w:jc w:val="both"/>
              <w:rPr>
                <w:rFonts w:ascii="Arial" w:hAnsi="Arial" w:cs="Arial"/>
              </w:rPr>
            </w:pPr>
            <w:r w:rsidRPr="00FD4BBE">
              <w:rPr>
                <w:rFonts w:ascii="Arial" w:hAnsi="Arial" w:cs="Arial"/>
              </w:rPr>
              <w:t>5.Segurança pública e defesa social</w:t>
            </w:r>
          </w:p>
        </w:tc>
        <w:tc>
          <w:tcPr>
            <w:tcW w:w="4961" w:type="dxa"/>
          </w:tcPr>
          <w:p w:rsidR="009617B8" w:rsidRPr="00FD4BBE" w:rsidRDefault="009617B8" w:rsidP="00833947">
            <w:pPr>
              <w:jc w:val="both"/>
              <w:rPr>
                <w:rFonts w:ascii="Arial" w:hAnsi="Arial" w:cs="Arial"/>
              </w:rPr>
            </w:pPr>
            <w:r w:rsidRPr="00FD4BBE">
              <w:rPr>
                <w:rFonts w:ascii="Arial" w:hAnsi="Arial" w:cs="Arial"/>
              </w:rPr>
              <w:t xml:space="preserve">Desenvolvimento de ações visando a proporcionar soluções e o tratamento de problemas relacionados </w:t>
            </w:r>
            <w:proofErr w:type="spellStart"/>
            <w:r w:rsidRPr="00FD4BBE">
              <w:rPr>
                <w:rFonts w:ascii="Arial" w:hAnsi="Arial" w:cs="Arial"/>
              </w:rPr>
              <w:t>a</w:t>
            </w:r>
            <w:proofErr w:type="spellEnd"/>
            <w:r w:rsidRPr="00FD4BBE">
              <w:rPr>
                <w:rFonts w:ascii="Arial" w:hAnsi="Arial" w:cs="Arial"/>
              </w:rPr>
              <w:t xml:space="preserve"> segurança pública; orientação e assistência jurídica, psicológica e social à população carcerária e familiares; assessoria a projetos de educação, saúde e trabalho aos apenados e familiares; questão penitenciária, violência, mediação de conflitos; atenção a vítimas de crimes violentos; proteção a testemunhas; policiamento comunitário; produção e divulgação de informações, conhecimentos e material didático relacionados ao tema.</w:t>
            </w:r>
          </w:p>
        </w:tc>
      </w:tr>
      <w:tr w:rsidR="009617B8" w:rsidTr="00833947">
        <w:tc>
          <w:tcPr>
            <w:tcW w:w="2240" w:type="dxa"/>
            <w:vMerge w:val="restart"/>
          </w:tcPr>
          <w:p w:rsidR="009617B8" w:rsidRPr="00FD4BBE" w:rsidRDefault="009617B8" w:rsidP="00833947">
            <w:pPr>
              <w:autoSpaceDE w:val="0"/>
              <w:autoSpaceDN w:val="0"/>
              <w:adjustRightInd w:val="0"/>
              <w:spacing w:before="120" w:after="120" w:line="360" w:lineRule="auto"/>
              <w:jc w:val="both"/>
              <w:rPr>
                <w:rFonts w:ascii="Arial" w:hAnsi="Arial" w:cs="Arial"/>
              </w:rPr>
            </w:pPr>
            <w:r w:rsidRPr="00FD4BBE">
              <w:rPr>
                <w:rFonts w:ascii="Arial" w:hAnsi="Arial" w:cs="Arial"/>
              </w:rPr>
              <w:t>Sustentabilidade</w:t>
            </w:r>
          </w:p>
          <w:p w:rsidR="009617B8" w:rsidRPr="00FD4BBE" w:rsidRDefault="009617B8" w:rsidP="00833947">
            <w:pPr>
              <w:autoSpaceDE w:val="0"/>
              <w:autoSpaceDN w:val="0"/>
              <w:adjustRightInd w:val="0"/>
              <w:spacing w:before="120" w:after="120" w:line="360" w:lineRule="auto"/>
              <w:jc w:val="both"/>
              <w:rPr>
                <w:rFonts w:ascii="Arial" w:hAnsi="Arial" w:cs="Arial"/>
              </w:rPr>
            </w:pPr>
          </w:p>
          <w:p w:rsidR="009617B8" w:rsidRPr="00FD4BBE" w:rsidRDefault="009617B8" w:rsidP="00833947">
            <w:pPr>
              <w:pStyle w:val="PargrafodaLista"/>
              <w:jc w:val="both"/>
              <w:rPr>
                <w:rFonts w:ascii="Arial" w:hAnsi="Arial" w:cs="Arial"/>
                <w:sz w:val="20"/>
                <w:szCs w:val="20"/>
              </w:rPr>
            </w:pPr>
          </w:p>
        </w:tc>
        <w:tc>
          <w:tcPr>
            <w:tcW w:w="2693" w:type="dxa"/>
          </w:tcPr>
          <w:p w:rsidR="009617B8" w:rsidRPr="00FD4BBE" w:rsidRDefault="009617B8" w:rsidP="009617B8">
            <w:pPr>
              <w:pStyle w:val="PargrafodaLista"/>
              <w:numPr>
                <w:ilvl w:val="0"/>
                <w:numId w:val="8"/>
              </w:numPr>
              <w:contextualSpacing/>
              <w:jc w:val="both"/>
              <w:rPr>
                <w:rFonts w:ascii="Arial" w:hAnsi="Arial" w:cs="Arial"/>
                <w:sz w:val="20"/>
                <w:szCs w:val="20"/>
              </w:rPr>
            </w:pPr>
            <w:r w:rsidRPr="00FD4BBE">
              <w:rPr>
                <w:rFonts w:ascii="Arial" w:hAnsi="Arial" w:cs="Arial"/>
                <w:sz w:val="20"/>
                <w:szCs w:val="20"/>
              </w:rPr>
              <w:t>Desenvolvimento regional e desenvolvimento sustentável</w:t>
            </w:r>
          </w:p>
        </w:tc>
        <w:tc>
          <w:tcPr>
            <w:tcW w:w="4961" w:type="dxa"/>
          </w:tcPr>
          <w:p w:rsidR="009617B8" w:rsidRPr="00FD4BBE" w:rsidRDefault="009617B8" w:rsidP="00833947">
            <w:pPr>
              <w:jc w:val="both"/>
              <w:rPr>
                <w:rFonts w:ascii="Arial" w:hAnsi="Arial" w:cs="Arial"/>
              </w:rPr>
            </w:pPr>
            <w:r w:rsidRPr="00FD4BBE">
              <w:rPr>
                <w:rFonts w:ascii="Arial" w:hAnsi="Arial" w:cs="Arial"/>
              </w:rPr>
              <w:t>Ações voltadas para a elaboração de diagnóstico e de propostas de planejamento regional (urbano e rural), soluções, tratamento de problemas e melhoria da qualidade de vida da população local, tendo em vista sua capacidade produtiva e potencial de incorporação na implementação das ações e tendo como base recursos locais renováveis e práticas sustentáveis.</w:t>
            </w:r>
          </w:p>
        </w:tc>
      </w:tr>
      <w:tr w:rsidR="009617B8" w:rsidTr="00833947">
        <w:tc>
          <w:tcPr>
            <w:tcW w:w="2240" w:type="dxa"/>
            <w:vMerge/>
          </w:tcPr>
          <w:p w:rsidR="009617B8" w:rsidRPr="00FD4BBE" w:rsidRDefault="009617B8" w:rsidP="00833947">
            <w:pPr>
              <w:pStyle w:val="PargrafodaLista"/>
              <w:jc w:val="both"/>
              <w:rPr>
                <w:rFonts w:ascii="Arial" w:hAnsi="Arial" w:cs="Arial"/>
                <w:sz w:val="20"/>
                <w:szCs w:val="20"/>
              </w:rPr>
            </w:pPr>
          </w:p>
        </w:tc>
        <w:tc>
          <w:tcPr>
            <w:tcW w:w="2693" w:type="dxa"/>
          </w:tcPr>
          <w:p w:rsidR="009617B8" w:rsidRPr="00FD4BBE" w:rsidRDefault="009617B8" w:rsidP="009617B8">
            <w:pPr>
              <w:pStyle w:val="PargrafodaLista"/>
              <w:numPr>
                <w:ilvl w:val="0"/>
                <w:numId w:val="8"/>
              </w:numPr>
              <w:contextualSpacing/>
              <w:jc w:val="both"/>
              <w:rPr>
                <w:rFonts w:ascii="Arial" w:hAnsi="Arial" w:cs="Arial"/>
                <w:sz w:val="20"/>
                <w:szCs w:val="20"/>
              </w:rPr>
            </w:pPr>
            <w:r w:rsidRPr="00FD4BBE">
              <w:rPr>
                <w:rFonts w:ascii="Arial" w:hAnsi="Arial" w:cs="Arial"/>
                <w:sz w:val="20"/>
                <w:szCs w:val="20"/>
              </w:rPr>
              <w:t>Desenvolvimento rural e questão agrária</w:t>
            </w:r>
          </w:p>
        </w:tc>
        <w:tc>
          <w:tcPr>
            <w:tcW w:w="4961" w:type="dxa"/>
          </w:tcPr>
          <w:p w:rsidR="009617B8" w:rsidRPr="00FD4BBE" w:rsidRDefault="009617B8" w:rsidP="00833947">
            <w:pPr>
              <w:jc w:val="both"/>
              <w:rPr>
                <w:rFonts w:ascii="Arial" w:hAnsi="Arial" w:cs="Arial"/>
              </w:rPr>
            </w:pPr>
            <w:r w:rsidRPr="00FD4BBE">
              <w:rPr>
                <w:rFonts w:ascii="Arial" w:hAnsi="Arial" w:cs="Arial"/>
              </w:rPr>
              <w:t>Ações relacionadas à constituição e/ou manutenção de dados epidemiológicos de endemias e epidemias e a transmissão de doenças que atuam na área; produção e divulgação de informações, conhecimentos e material didático, relacionados ao tema.</w:t>
            </w:r>
          </w:p>
        </w:tc>
      </w:tr>
      <w:tr w:rsidR="009617B8" w:rsidTr="00833947">
        <w:tc>
          <w:tcPr>
            <w:tcW w:w="2240" w:type="dxa"/>
            <w:vMerge/>
          </w:tcPr>
          <w:p w:rsidR="009617B8" w:rsidRPr="00FD4BBE" w:rsidRDefault="009617B8" w:rsidP="00833947">
            <w:pPr>
              <w:autoSpaceDE w:val="0"/>
              <w:autoSpaceDN w:val="0"/>
              <w:adjustRightInd w:val="0"/>
              <w:spacing w:before="120" w:after="120" w:line="360" w:lineRule="auto"/>
              <w:jc w:val="both"/>
              <w:rPr>
                <w:rFonts w:ascii="Arial" w:hAnsi="Arial" w:cs="Arial"/>
              </w:rPr>
            </w:pPr>
          </w:p>
        </w:tc>
        <w:tc>
          <w:tcPr>
            <w:tcW w:w="2693" w:type="dxa"/>
          </w:tcPr>
          <w:p w:rsidR="009617B8" w:rsidRPr="00FD4BBE" w:rsidRDefault="009617B8" w:rsidP="009617B8">
            <w:pPr>
              <w:pStyle w:val="PargrafodaLista"/>
              <w:numPr>
                <w:ilvl w:val="0"/>
                <w:numId w:val="8"/>
              </w:numPr>
              <w:contextualSpacing/>
              <w:jc w:val="both"/>
              <w:rPr>
                <w:rFonts w:ascii="Arial" w:hAnsi="Arial" w:cs="Arial"/>
                <w:sz w:val="20"/>
                <w:szCs w:val="20"/>
              </w:rPr>
            </w:pPr>
            <w:r w:rsidRPr="00FD4BBE">
              <w:rPr>
                <w:rFonts w:ascii="Arial" w:hAnsi="Arial" w:cs="Arial"/>
                <w:sz w:val="20"/>
                <w:szCs w:val="20"/>
              </w:rPr>
              <w:t>Ambiente e sociedade</w:t>
            </w:r>
          </w:p>
        </w:tc>
        <w:tc>
          <w:tcPr>
            <w:tcW w:w="4961" w:type="dxa"/>
          </w:tcPr>
          <w:p w:rsidR="009617B8" w:rsidRPr="00FD4BBE" w:rsidRDefault="009617B8" w:rsidP="00833947">
            <w:pPr>
              <w:jc w:val="both"/>
              <w:rPr>
                <w:rFonts w:ascii="Arial" w:hAnsi="Arial" w:cs="Arial"/>
              </w:rPr>
            </w:pPr>
            <w:r w:rsidRPr="00FD4BBE">
              <w:rPr>
                <w:rFonts w:ascii="Arial" w:hAnsi="Arial" w:cs="Arial"/>
              </w:rPr>
              <w:t xml:space="preserve">Ações voltadas para a questão ecológica, microbacias, preservação de mata ciliar e dos recursos hídricos, gerenciamento de recursos hídricos e Bacias Hidrográficas; orientação para desenvolvimento de ações normativas, operacionais, financeiras e de planejamento com base em critérios sanitários, ambientais e econômicos, para coletar, segregar, tratar e dispor o lixo; orientação para elaboração e desenvolvimento de projetos de planos de gestão integrada de resíduos sólidos urbanos, coleta seletiva, instalação de manejo de RSU reaproveitáveis (compostagem e reciclagem), </w:t>
            </w:r>
            <w:r w:rsidRPr="00FD4BBE">
              <w:rPr>
                <w:rFonts w:ascii="Arial" w:hAnsi="Arial" w:cs="Arial"/>
              </w:rPr>
              <w:lastRenderedPageBreak/>
              <w:t>destinação final de RSU (aterros sanitários e controlados), remediação de lixo a céu aberto; orientação e qualificação de catadores de lixo prevenção e controle da poluição o planejamento, implementação e avaliação de processos de educação ambiental e de redução da poluição do ar, águas e solo; discussão da Agenda 21; discussão dos impactos ambientais de empreendimentos e de planos básicos ambientais; questões florestais; meio ambiente e qualidade de vida; cidadania e meio ambiente; formação, capacitação e qualificação de pessoas que atuam na área; produção e divulgação de informações, conhecimentos e material didático na área</w:t>
            </w:r>
          </w:p>
        </w:tc>
      </w:tr>
      <w:tr w:rsidR="009617B8" w:rsidTr="00833947">
        <w:tc>
          <w:tcPr>
            <w:tcW w:w="2240" w:type="dxa"/>
            <w:vMerge w:val="restart"/>
          </w:tcPr>
          <w:p w:rsidR="009617B8" w:rsidRPr="00FD4BBE" w:rsidRDefault="009617B8" w:rsidP="00833947">
            <w:pPr>
              <w:autoSpaceDE w:val="0"/>
              <w:autoSpaceDN w:val="0"/>
              <w:adjustRightInd w:val="0"/>
              <w:spacing w:before="120" w:after="120" w:line="360" w:lineRule="auto"/>
              <w:jc w:val="both"/>
              <w:rPr>
                <w:rFonts w:ascii="Arial" w:hAnsi="Arial" w:cs="Arial"/>
              </w:rPr>
            </w:pPr>
            <w:r w:rsidRPr="00FD4BBE">
              <w:rPr>
                <w:rFonts w:ascii="Arial" w:hAnsi="Arial" w:cs="Arial"/>
              </w:rPr>
              <w:lastRenderedPageBreak/>
              <w:t xml:space="preserve">Promoção da saúde, da atenção básica e do </w:t>
            </w:r>
            <w:proofErr w:type="gramStart"/>
            <w:r w:rsidRPr="00FD4BBE">
              <w:rPr>
                <w:rFonts w:ascii="Arial" w:hAnsi="Arial" w:cs="Arial"/>
              </w:rPr>
              <w:t>bem estar</w:t>
            </w:r>
            <w:proofErr w:type="gramEnd"/>
            <w:r w:rsidRPr="00FD4BBE">
              <w:rPr>
                <w:rFonts w:ascii="Arial" w:hAnsi="Arial" w:cs="Arial"/>
              </w:rPr>
              <w:t xml:space="preserve"> social.</w:t>
            </w:r>
          </w:p>
          <w:p w:rsidR="009617B8" w:rsidRPr="00FD4BBE" w:rsidRDefault="009617B8" w:rsidP="00833947">
            <w:pPr>
              <w:autoSpaceDE w:val="0"/>
              <w:autoSpaceDN w:val="0"/>
              <w:adjustRightInd w:val="0"/>
              <w:spacing w:before="120" w:after="120" w:line="360" w:lineRule="auto"/>
              <w:jc w:val="both"/>
              <w:rPr>
                <w:rFonts w:ascii="Arial" w:hAnsi="Arial" w:cs="Arial"/>
              </w:rPr>
            </w:pPr>
          </w:p>
        </w:tc>
        <w:tc>
          <w:tcPr>
            <w:tcW w:w="2693" w:type="dxa"/>
          </w:tcPr>
          <w:p w:rsidR="009617B8" w:rsidRPr="00FD4BBE" w:rsidRDefault="009617B8" w:rsidP="009617B8">
            <w:pPr>
              <w:pStyle w:val="PargrafodaLista"/>
              <w:numPr>
                <w:ilvl w:val="0"/>
                <w:numId w:val="8"/>
              </w:numPr>
              <w:contextualSpacing/>
              <w:jc w:val="both"/>
              <w:rPr>
                <w:rFonts w:ascii="Arial" w:hAnsi="Arial" w:cs="Arial"/>
                <w:sz w:val="20"/>
                <w:szCs w:val="20"/>
              </w:rPr>
            </w:pPr>
            <w:r w:rsidRPr="00FD4BBE">
              <w:rPr>
                <w:rFonts w:ascii="Arial" w:hAnsi="Arial" w:cs="Arial"/>
                <w:sz w:val="20"/>
                <w:szCs w:val="20"/>
              </w:rPr>
              <w:t>Esporte e lazer</w:t>
            </w:r>
          </w:p>
        </w:tc>
        <w:tc>
          <w:tcPr>
            <w:tcW w:w="4961" w:type="dxa"/>
          </w:tcPr>
          <w:p w:rsidR="009617B8" w:rsidRPr="00FD4BBE" w:rsidRDefault="009617B8" w:rsidP="00833947">
            <w:pPr>
              <w:jc w:val="both"/>
              <w:rPr>
                <w:rFonts w:ascii="Arial" w:hAnsi="Arial" w:cs="Arial"/>
              </w:rPr>
            </w:pPr>
            <w:r w:rsidRPr="00FD4BBE">
              <w:rPr>
                <w:rFonts w:ascii="Arial" w:hAnsi="Arial" w:cs="Arial"/>
              </w:rPr>
              <w:t>Ações voltadas para as práticas esportivas, experiências culturais, atividades físicas e vivencias de lazer para crianças, jovens e adultos como princípios de cidadania, inclusão, participação social e promoção da saúde; esportes e lazer nos projetos político-pedagógico das escolas; desenvolvimento de metodologias e inovações pedagógicas no ensino da Educação Física, Esporte e Lazer; iniciação e prática esportiva; detecção e fomento de talentos esportivos formação, capacitação e qualificação de pessoas que atuam na área; produção e divulgação de informações, conhecimentos e material didático na área.</w:t>
            </w:r>
          </w:p>
        </w:tc>
      </w:tr>
      <w:tr w:rsidR="009617B8" w:rsidTr="00833947">
        <w:tc>
          <w:tcPr>
            <w:tcW w:w="2240" w:type="dxa"/>
            <w:vMerge/>
          </w:tcPr>
          <w:p w:rsidR="009617B8" w:rsidRPr="00FD4BBE" w:rsidRDefault="009617B8" w:rsidP="00833947">
            <w:pPr>
              <w:autoSpaceDE w:val="0"/>
              <w:autoSpaceDN w:val="0"/>
              <w:adjustRightInd w:val="0"/>
              <w:spacing w:before="120" w:after="120" w:line="360" w:lineRule="auto"/>
              <w:jc w:val="both"/>
              <w:rPr>
                <w:rFonts w:ascii="Arial" w:hAnsi="Arial" w:cs="Arial"/>
              </w:rPr>
            </w:pPr>
          </w:p>
        </w:tc>
        <w:tc>
          <w:tcPr>
            <w:tcW w:w="2693" w:type="dxa"/>
          </w:tcPr>
          <w:p w:rsidR="009617B8" w:rsidRPr="00FD4BBE" w:rsidRDefault="009617B8" w:rsidP="009617B8">
            <w:pPr>
              <w:pStyle w:val="PargrafodaLista"/>
              <w:numPr>
                <w:ilvl w:val="0"/>
                <w:numId w:val="8"/>
              </w:numPr>
              <w:contextualSpacing/>
              <w:jc w:val="both"/>
              <w:rPr>
                <w:rFonts w:ascii="Arial" w:hAnsi="Arial" w:cs="Arial"/>
                <w:sz w:val="20"/>
                <w:szCs w:val="20"/>
              </w:rPr>
            </w:pPr>
            <w:r w:rsidRPr="00FD4BBE">
              <w:rPr>
                <w:rFonts w:ascii="Arial" w:hAnsi="Arial" w:cs="Arial"/>
                <w:sz w:val="20"/>
                <w:szCs w:val="20"/>
              </w:rPr>
              <w:t>Fármacos e medicamentos</w:t>
            </w:r>
          </w:p>
        </w:tc>
        <w:tc>
          <w:tcPr>
            <w:tcW w:w="4961" w:type="dxa"/>
          </w:tcPr>
          <w:p w:rsidR="009617B8" w:rsidRPr="00FD4BBE" w:rsidRDefault="009617B8" w:rsidP="00833947">
            <w:pPr>
              <w:jc w:val="both"/>
              <w:rPr>
                <w:rFonts w:ascii="Arial" w:hAnsi="Arial" w:cs="Arial"/>
              </w:rPr>
            </w:pPr>
            <w:r w:rsidRPr="00FD4BBE">
              <w:rPr>
                <w:rFonts w:ascii="Arial" w:hAnsi="Arial" w:cs="Arial"/>
              </w:rPr>
              <w:t>Ações voltadas para a promoção do uso correto de medicamentos e para a assistência à saúde em seus processos que envolvem a farmacoterapia; diagnóstico laboratorial; análises químicas, físico-químicas, biológicas, microbiológicas e toxicológicas de fármacos, insumos farmacêuticos, medicamentos e fitoterápicos; formação, capacitação e divulgação de informações, conhecimentos e material didático na área.</w:t>
            </w:r>
          </w:p>
        </w:tc>
      </w:tr>
      <w:tr w:rsidR="009617B8" w:rsidTr="00833947">
        <w:tc>
          <w:tcPr>
            <w:tcW w:w="2240" w:type="dxa"/>
            <w:vMerge/>
          </w:tcPr>
          <w:p w:rsidR="009617B8" w:rsidRPr="00FD4BBE" w:rsidRDefault="009617B8" w:rsidP="00833947">
            <w:pPr>
              <w:autoSpaceDE w:val="0"/>
              <w:autoSpaceDN w:val="0"/>
              <w:adjustRightInd w:val="0"/>
              <w:spacing w:before="120" w:after="120" w:line="360" w:lineRule="auto"/>
              <w:jc w:val="both"/>
              <w:rPr>
                <w:rFonts w:ascii="Arial" w:hAnsi="Arial" w:cs="Arial"/>
              </w:rPr>
            </w:pPr>
          </w:p>
        </w:tc>
        <w:tc>
          <w:tcPr>
            <w:tcW w:w="2693" w:type="dxa"/>
          </w:tcPr>
          <w:p w:rsidR="009617B8" w:rsidRPr="00FD4BBE" w:rsidRDefault="009617B8" w:rsidP="00833947">
            <w:pPr>
              <w:ind w:left="360"/>
              <w:jc w:val="both"/>
              <w:rPr>
                <w:rFonts w:ascii="Arial" w:hAnsi="Arial" w:cs="Arial"/>
              </w:rPr>
            </w:pPr>
            <w:r w:rsidRPr="00FD4BBE">
              <w:rPr>
                <w:rFonts w:ascii="Arial" w:hAnsi="Arial" w:cs="Arial"/>
              </w:rPr>
              <w:t>11.Saúde animal</w:t>
            </w:r>
          </w:p>
        </w:tc>
        <w:tc>
          <w:tcPr>
            <w:tcW w:w="4961" w:type="dxa"/>
          </w:tcPr>
          <w:p w:rsidR="009617B8" w:rsidRPr="00FD4BBE" w:rsidRDefault="009617B8" w:rsidP="00833947">
            <w:pPr>
              <w:jc w:val="both"/>
              <w:rPr>
                <w:rFonts w:ascii="Arial" w:hAnsi="Arial" w:cs="Arial"/>
              </w:rPr>
            </w:pPr>
            <w:r w:rsidRPr="00FD4BBE">
              <w:rPr>
                <w:rFonts w:ascii="Arial" w:hAnsi="Arial" w:cs="Arial"/>
              </w:rPr>
              <w:t>Ações voltadas para o planejamento, implementação e avaliação de processos e metodologias visando à assistência à saúde animal: prevenção, diagnóstico e tratamento; prestação de serviços institucionais em laboratórios, clínicas e hospitais veterinários universitários, produção e divulgação de informações, conhecimentos e material didático, relacionados ao tema; formação, capacitação e qualificação de pessoas que atuam na área.</w:t>
            </w:r>
          </w:p>
        </w:tc>
      </w:tr>
      <w:tr w:rsidR="009617B8" w:rsidTr="00833947">
        <w:tc>
          <w:tcPr>
            <w:tcW w:w="2240" w:type="dxa"/>
            <w:vMerge/>
          </w:tcPr>
          <w:p w:rsidR="009617B8" w:rsidRPr="00FD4BBE" w:rsidRDefault="009617B8" w:rsidP="00833947">
            <w:pPr>
              <w:autoSpaceDE w:val="0"/>
              <w:autoSpaceDN w:val="0"/>
              <w:adjustRightInd w:val="0"/>
              <w:spacing w:before="120" w:after="120" w:line="360" w:lineRule="auto"/>
              <w:jc w:val="both"/>
              <w:rPr>
                <w:rFonts w:ascii="Arial" w:hAnsi="Arial" w:cs="Arial"/>
              </w:rPr>
            </w:pPr>
          </w:p>
        </w:tc>
        <w:tc>
          <w:tcPr>
            <w:tcW w:w="2693" w:type="dxa"/>
          </w:tcPr>
          <w:p w:rsidR="009617B8" w:rsidRPr="00FD4BBE" w:rsidRDefault="009617B8" w:rsidP="00833947">
            <w:pPr>
              <w:ind w:left="360"/>
              <w:jc w:val="both"/>
              <w:rPr>
                <w:rFonts w:ascii="Arial" w:hAnsi="Arial" w:cs="Arial"/>
              </w:rPr>
            </w:pPr>
            <w:r w:rsidRPr="00FD4BBE">
              <w:rPr>
                <w:rFonts w:ascii="Arial" w:hAnsi="Arial" w:cs="Arial"/>
              </w:rPr>
              <w:t>12.Terceira idade</w:t>
            </w:r>
          </w:p>
        </w:tc>
        <w:tc>
          <w:tcPr>
            <w:tcW w:w="4961" w:type="dxa"/>
          </w:tcPr>
          <w:p w:rsidR="009617B8" w:rsidRPr="00FD4BBE" w:rsidRDefault="009617B8" w:rsidP="00833947">
            <w:pPr>
              <w:jc w:val="both"/>
              <w:rPr>
                <w:rFonts w:ascii="Arial" w:hAnsi="Arial" w:cs="Arial"/>
              </w:rPr>
            </w:pPr>
            <w:r w:rsidRPr="00FD4BBE">
              <w:rPr>
                <w:rFonts w:ascii="Arial" w:hAnsi="Arial" w:cs="Arial"/>
              </w:rPr>
              <w:t xml:space="preserve">Ações voltadas para o planejamento, implementação e avaliação de processos de atenção (educação, saúde, assistência social, etc.), de emancipação e inclusão,; promoção, defesa e garantia de direitos; desenvolvimento de metodologias de intervenção, tendo como objeto enfocado na ação pessoas idosas e suas famílias; formação, capacitação e qualificação de pessoas que atuam com este segmento; produção </w:t>
            </w:r>
            <w:r w:rsidRPr="00FD4BBE">
              <w:rPr>
                <w:rFonts w:ascii="Arial" w:hAnsi="Arial" w:cs="Arial"/>
              </w:rPr>
              <w:lastRenderedPageBreak/>
              <w:t>e divulgação de informações, conhecimentos e material didático na área.</w:t>
            </w:r>
          </w:p>
        </w:tc>
      </w:tr>
      <w:tr w:rsidR="009617B8" w:rsidTr="00833947">
        <w:tc>
          <w:tcPr>
            <w:tcW w:w="2240" w:type="dxa"/>
            <w:vMerge/>
          </w:tcPr>
          <w:p w:rsidR="009617B8" w:rsidRPr="00FD4BBE" w:rsidRDefault="009617B8" w:rsidP="00833947">
            <w:pPr>
              <w:jc w:val="both"/>
              <w:rPr>
                <w:rFonts w:ascii="Arial" w:hAnsi="Arial" w:cs="Arial"/>
              </w:rPr>
            </w:pPr>
          </w:p>
        </w:tc>
        <w:tc>
          <w:tcPr>
            <w:tcW w:w="2693" w:type="dxa"/>
          </w:tcPr>
          <w:p w:rsidR="009617B8" w:rsidRPr="00FD4BBE" w:rsidRDefault="009617B8" w:rsidP="009617B8">
            <w:pPr>
              <w:pStyle w:val="PargrafodaLista"/>
              <w:numPr>
                <w:ilvl w:val="0"/>
                <w:numId w:val="9"/>
              </w:numPr>
              <w:contextualSpacing/>
              <w:jc w:val="both"/>
              <w:rPr>
                <w:rFonts w:ascii="Arial" w:hAnsi="Arial" w:cs="Arial"/>
                <w:sz w:val="20"/>
                <w:szCs w:val="20"/>
              </w:rPr>
            </w:pPr>
            <w:r w:rsidRPr="00FD4BBE">
              <w:rPr>
                <w:rFonts w:ascii="Arial" w:hAnsi="Arial" w:cs="Arial"/>
                <w:sz w:val="20"/>
                <w:szCs w:val="20"/>
              </w:rPr>
              <w:t>Saúde da família</w:t>
            </w:r>
          </w:p>
        </w:tc>
        <w:tc>
          <w:tcPr>
            <w:tcW w:w="4961" w:type="dxa"/>
          </w:tcPr>
          <w:p w:rsidR="009617B8" w:rsidRPr="00FD4BBE" w:rsidRDefault="009617B8" w:rsidP="00833947">
            <w:pPr>
              <w:jc w:val="both"/>
              <w:rPr>
                <w:rFonts w:ascii="Arial" w:hAnsi="Arial" w:cs="Arial"/>
              </w:rPr>
            </w:pPr>
            <w:r w:rsidRPr="00FD4BBE">
              <w:rPr>
                <w:rFonts w:ascii="Arial" w:hAnsi="Arial" w:cs="Arial"/>
              </w:rPr>
              <w:t>Ações voltadas para o planejamento, implementação e avaliação de processos assistenciais e metodologias de intervenção para a saúde da família; produção e divulgação de informações, conhecimentos e de material didática, relacionados ao tema; formação, capacitação e qualificação de pessoas que atuam na área.</w:t>
            </w:r>
          </w:p>
        </w:tc>
      </w:tr>
      <w:tr w:rsidR="009617B8" w:rsidTr="00833947">
        <w:tc>
          <w:tcPr>
            <w:tcW w:w="2240" w:type="dxa"/>
            <w:vMerge/>
          </w:tcPr>
          <w:p w:rsidR="009617B8" w:rsidRPr="00FD4BBE" w:rsidRDefault="009617B8" w:rsidP="00833947">
            <w:pPr>
              <w:jc w:val="both"/>
              <w:rPr>
                <w:rFonts w:ascii="Arial" w:hAnsi="Arial" w:cs="Arial"/>
              </w:rPr>
            </w:pPr>
          </w:p>
        </w:tc>
        <w:tc>
          <w:tcPr>
            <w:tcW w:w="2693" w:type="dxa"/>
          </w:tcPr>
          <w:p w:rsidR="009617B8" w:rsidRPr="00FD4BBE" w:rsidRDefault="009617B8" w:rsidP="009617B8">
            <w:pPr>
              <w:pStyle w:val="PargrafodaLista"/>
              <w:numPr>
                <w:ilvl w:val="0"/>
                <w:numId w:val="9"/>
              </w:numPr>
              <w:contextualSpacing/>
              <w:jc w:val="both"/>
              <w:rPr>
                <w:rFonts w:ascii="Arial" w:hAnsi="Arial" w:cs="Arial"/>
                <w:sz w:val="20"/>
                <w:szCs w:val="20"/>
              </w:rPr>
            </w:pPr>
            <w:r w:rsidRPr="00FD4BBE">
              <w:rPr>
                <w:rFonts w:ascii="Arial" w:hAnsi="Arial" w:cs="Arial"/>
                <w:sz w:val="20"/>
                <w:szCs w:val="20"/>
              </w:rPr>
              <w:t>Saúde humana</w:t>
            </w:r>
          </w:p>
        </w:tc>
        <w:tc>
          <w:tcPr>
            <w:tcW w:w="4961" w:type="dxa"/>
          </w:tcPr>
          <w:p w:rsidR="009617B8" w:rsidRPr="00FD4BBE" w:rsidRDefault="009617B8" w:rsidP="00833947">
            <w:pPr>
              <w:jc w:val="both"/>
              <w:rPr>
                <w:rFonts w:ascii="Arial" w:hAnsi="Arial" w:cs="Arial"/>
              </w:rPr>
            </w:pPr>
            <w:r w:rsidRPr="00FD4BBE">
              <w:rPr>
                <w:rFonts w:ascii="Arial" w:hAnsi="Arial" w:cs="Arial"/>
              </w:rPr>
              <w:t>Ações voltadas à promoção da saúde das pessoas, famílias e comunidades; humanização dos serviços; prestação de serviços institucionais em ambulatórios, laboratórios, clínicas e hospitais universitários; assistência à saúde de pessoas em serviços especializados de diagnóstico, análises clínicas e tratamento, clínicas odontológicas, de psicologia, dentre outras; formação, capacitação e qualificação de pessoas que atuam na área; informações, conhecimentos e de material didático relacionados na área</w:t>
            </w:r>
          </w:p>
        </w:tc>
      </w:tr>
      <w:tr w:rsidR="009617B8" w:rsidTr="00833947">
        <w:tc>
          <w:tcPr>
            <w:tcW w:w="2240" w:type="dxa"/>
            <w:vMerge/>
          </w:tcPr>
          <w:p w:rsidR="009617B8" w:rsidRPr="00FD4BBE" w:rsidRDefault="009617B8" w:rsidP="00833947">
            <w:pPr>
              <w:jc w:val="both"/>
              <w:rPr>
                <w:rFonts w:ascii="Arial" w:hAnsi="Arial" w:cs="Arial"/>
              </w:rPr>
            </w:pPr>
          </w:p>
        </w:tc>
        <w:tc>
          <w:tcPr>
            <w:tcW w:w="2693" w:type="dxa"/>
          </w:tcPr>
          <w:p w:rsidR="009617B8" w:rsidRPr="00FD4BBE" w:rsidRDefault="009617B8" w:rsidP="009617B8">
            <w:pPr>
              <w:pStyle w:val="PargrafodaLista"/>
              <w:numPr>
                <w:ilvl w:val="0"/>
                <w:numId w:val="9"/>
              </w:numPr>
              <w:contextualSpacing/>
              <w:jc w:val="both"/>
              <w:rPr>
                <w:rFonts w:ascii="Arial" w:hAnsi="Arial" w:cs="Arial"/>
                <w:sz w:val="20"/>
                <w:szCs w:val="20"/>
              </w:rPr>
            </w:pPr>
            <w:r w:rsidRPr="00FD4BBE">
              <w:rPr>
                <w:rFonts w:ascii="Arial" w:hAnsi="Arial" w:cs="Arial"/>
                <w:sz w:val="20"/>
                <w:szCs w:val="20"/>
              </w:rPr>
              <w:t>Segurança alimentar</w:t>
            </w:r>
          </w:p>
        </w:tc>
        <w:tc>
          <w:tcPr>
            <w:tcW w:w="4961" w:type="dxa"/>
          </w:tcPr>
          <w:p w:rsidR="009617B8" w:rsidRPr="00FD4BBE" w:rsidRDefault="009617B8" w:rsidP="00833947">
            <w:pPr>
              <w:jc w:val="both"/>
              <w:rPr>
                <w:rFonts w:ascii="Arial" w:hAnsi="Arial" w:cs="Arial"/>
              </w:rPr>
            </w:pPr>
            <w:r w:rsidRPr="00FD4BBE">
              <w:rPr>
                <w:rFonts w:ascii="Arial" w:hAnsi="Arial" w:cs="Arial"/>
              </w:rPr>
              <w:t>Ações voltadas para o incentivo à produção de alimentos básicos, auto abastecimento, hortas escolares e comunitárias, nutrição, educação para o consumo, regulação do mercado de alimentos, promoção e defesa do consumo alimentar; capacitação e qualificação de pessoas que atuam na área; produção e divulgação de informações, conhecimentos e de material didático relacionados ao tema.</w:t>
            </w:r>
          </w:p>
        </w:tc>
      </w:tr>
      <w:tr w:rsidR="009617B8" w:rsidTr="00833947">
        <w:tc>
          <w:tcPr>
            <w:tcW w:w="2240" w:type="dxa"/>
            <w:vMerge w:val="restart"/>
          </w:tcPr>
          <w:p w:rsidR="009617B8" w:rsidRPr="00FD4BBE" w:rsidRDefault="009617B8" w:rsidP="00833947">
            <w:pPr>
              <w:jc w:val="both"/>
              <w:rPr>
                <w:rFonts w:ascii="Arial" w:hAnsi="Arial" w:cs="Arial"/>
              </w:rPr>
            </w:pPr>
            <w:r w:rsidRPr="00FD4BBE">
              <w:rPr>
                <w:rFonts w:ascii="Arial" w:hAnsi="Arial" w:cs="Arial"/>
              </w:rPr>
              <w:t>Empreendedorismo e negócios</w:t>
            </w:r>
          </w:p>
          <w:p w:rsidR="009617B8" w:rsidRPr="00FD4BBE" w:rsidRDefault="009617B8" w:rsidP="00833947">
            <w:pPr>
              <w:autoSpaceDE w:val="0"/>
              <w:autoSpaceDN w:val="0"/>
              <w:adjustRightInd w:val="0"/>
              <w:spacing w:before="120" w:after="120" w:line="360" w:lineRule="auto"/>
              <w:jc w:val="both"/>
              <w:rPr>
                <w:rFonts w:ascii="Arial" w:hAnsi="Arial" w:cs="Arial"/>
              </w:rPr>
            </w:pPr>
          </w:p>
        </w:tc>
        <w:tc>
          <w:tcPr>
            <w:tcW w:w="2693" w:type="dxa"/>
          </w:tcPr>
          <w:p w:rsidR="009617B8" w:rsidRPr="00FD4BBE" w:rsidRDefault="009617B8" w:rsidP="009617B8">
            <w:pPr>
              <w:pStyle w:val="PargrafodaLista"/>
              <w:numPr>
                <w:ilvl w:val="0"/>
                <w:numId w:val="9"/>
              </w:numPr>
              <w:contextualSpacing/>
              <w:jc w:val="both"/>
              <w:rPr>
                <w:rFonts w:ascii="Arial" w:hAnsi="Arial" w:cs="Arial"/>
                <w:sz w:val="20"/>
                <w:szCs w:val="20"/>
              </w:rPr>
            </w:pPr>
            <w:r w:rsidRPr="00FD4BBE">
              <w:rPr>
                <w:rFonts w:ascii="Arial" w:hAnsi="Arial" w:cs="Arial"/>
                <w:sz w:val="20"/>
                <w:szCs w:val="20"/>
              </w:rPr>
              <w:t>Desenvolvimento de produtos</w:t>
            </w:r>
          </w:p>
        </w:tc>
        <w:tc>
          <w:tcPr>
            <w:tcW w:w="4961" w:type="dxa"/>
          </w:tcPr>
          <w:p w:rsidR="009617B8" w:rsidRPr="00FD4BBE" w:rsidRDefault="009617B8" w:rsidP="00833947">
            <w:pPr>
              <w:jc w:val="both"/>
              <w:rPr>
                <w:rFonts w:ascii="Arial" w:hAnsi="Arial" w:cs="Arial"/>
              </w:rPr>
            </w:pPr>
            <w:r w:rsidRPr="00FD4BBE">
              <w:rPr>
                <w:rFonts w:ascii="Arial" w:hAnsi="Arial" w:cs="Arial"/>
              </w:rPr>
              <w:t>Ações, voltadas à produção de origem animal, vegetal, mineral e laboratorial; manejo, transformação, manipulação, dispensação, conservação e comercialização de produtos e subprodutos; produção e divulgação de informações, conhecimentos e material didático relacionados ao tema; formação, capacitação e qualificação de pessoas que atuam na área.</w:t>
            </w:r>
          </w:p>
        </w:tc>
      </w:tr>
      <w:tr w:rsidR="009617B8" w:rsidTr="00833947">
        <w:tc>
          <w:tcPr>
            <w:tcW w:w="2240" w:type="dxa"/>
            <w:vMerge/>
          </w:tcPr>
          <w:p w:rsidR="009617B8" w:rsidRPr="00FD4BBE" w:rsidRDefault="009617B8" w:rsidP="00833947">
            <w:pPr>
              <w:jc w:val="both"/>
              <w:rPr>
                <w:rFonts w:ascii="Arial" w:hAnsi="Arial" w:cs="Arial"/>
              </w:rPr>
            </w:pPr>
          </w:p>
        </w:tc>
        <w:tc>
          <w:tcPr>
            <w:tcW w:w="2693" w:type="dxa"/>
          </w:tcPr>
          <w:p w:rsidR="009617B8" w:rsidRPr="00FD4BBE" w:rsidRDefault="009617B8" w:rsidP="009617B8">
            <w:pPr>
              <w:pStyle w:val="PargrafodaLista"/>
              <w:numPr>
                <w:ilvl w:val="0"/>
                <w:numId w:val="9"/>
              </w:numPr>
              <w:contextualSpacing/>
              <w:jc w:val="both"/>
              <w:rPr>
                <w:rFonts w:ascii="Arial" w:hAnsi="Arial" w:cs="Arial"/>
                <w:sz w:val="20"/>
                <w:szCs w:val="20"/>
              </w:rPr>
            </w:pPr>
            <w:r w:rsidRPr="00FD4BBE">
              <w:rPr>
                <w:rFonts w:ascii="Arial" w:hAnsi="Arial" w:cs="Arial"/>
                <w:sz w:val="20"/>
                <w:szCs w:val="20"/>
              </w:rPr>
              <w:t xml:space="preserve">Gestão administrativa e financeira </w:t>
            </w:r>
          </w:p>
        </w:tc>
        <w:tc>
          <w:tcPr>
            <w:tcW w:w="4961" w:type="dxa"/>
          </w:tcPr>
          <w:p w:rsidR="009617B8" w:rsidRPr="00FD4BBE" w:rsidRDefault="009617B8" w:rsidP="00833947">
            <w:pPr>
              <w:jc w:val="both"/>
              <w:rPr>
                <w:rFonts w:ascii="Arial" w:hAnsi="Arial" w:cs="Arial"/>
              </w:rPr>
            </w:pPr>
            <w:r w:rsidRPr="00FD4BBE">
              <w:rPr>
                <w:rFonts w:ascii="Arial" w:hAnsi="Arial" w:cs="Arial"/>
              </w:rPr>
              <w:t>Ações visando ao planejamento, implementação e avaliação de sistemas de fornecimento e divulgação de informações econômicas, financeiras, físicas e sociais das instituições públicas, privadas e do terceiro setor; produção e divulgação de informações, conhecimentos e de material didático relacionados ao tema; formação, capacitação e qualificação de pessoas que atuam na área.</w:t>
            </w:r>
          </w:p>
        </w:tc>
      </w:tr>
      <w:tr w:rsidR="009617B8" w:rsidTr="00833947">
        <w:tc>
          <w:tcPr>
            <w:tcW w:w="2240" w:type="dxa"/>
            <w:vMerge w:val="restart"/>
          </w:tcPr>
          <w:p w:rsidR="009617B8" w:rsidRPr="00FD4BBE" w:rsidRDefault="009617B8" w:rsidP="00833947">
            <w:pPr>
              <w:autoSpaceDE w:val="0"/>
              <w:autoSpaceDN w:val="0"/>
              <w:adjustRightInd w:val="0"/>
              <w:spacing w:before="120" w:after="120" w:line="360" w:lineRule="auto"/>
              <w:jc w:val="both"/>
              <w:rPr>
                <w:rFonts w:ascii="Arial" w:hAnsi="Arial" w:cs="Arial"/>
                <w:b/>
              </w:rPr>
            </w:pPr>
            <w:r w:rsidRPr="00FD4BBE">
              <w:rPr>
                <w:rFonts w:ascii="Arial" w:hAnsi="Arial" w:cs="Arial"/>
              </w:rPr>
              <w:t>Tecnologia da informação e inovação</w:t>
            </w:r>
          </w:p>
          <w:p w:rsidR="009617B8" w:rsidRPr="00FD4BBE" w:rsidRDefault="009617B8" w:rsidP="00833947">
            <w:pPr>
              <w:jc w:val="both"/>
              <w:rPr>
                <w:rFonts w:ascii="Arial" w:hAnsi="Arial" w:cs="Arial"/>
              </w:rPr>
            </w:pPr>
          </w:p>
        </w:tc>
        <w:tc>
          <w:tcPr>
            <w:tcW w:w="2693" w:type="dxa"/>
          </w:tcPr>
          <w:p w:rsidR="009617B8" w:rsidRPr="00FD4BBE" w:rsidRDefault="009617B8" w:rsidP="009617B8">
            <w:pPr>
              <w:pStyle w:val="PargrafodaLista"/>
              <w:numPr>
                <w:ilvl w:val="0"/>
                <w:numId w:val="9"/>
              </w:numPr>
              <w:contextualSpacing/>
              <w:jc w:val="both"/>
              <w:rPr>
                <w:rFonts w:ascii="Arial" w:hAnsi="Arial" w:cs="Arial"/>
                <w:sz w:val="20"/>
                <w:szCs w:val="20"/>
              </w:rPr>
            </w:pPr>
            <w:r w:rsidRPr="00FD4BBE">
              <w:rPr>
                <w:rFonts w:ascii="Arial" w:hAnsi="Arial" w:cs="Arial"/>
                <w:sz w:val="20"/>
                <w:szCs w:val="20"/>
              </w:rPr>
              <w:t>Inovação tecnológica</w:t>
            </w:r>
          </w:p>
        </w:tc>
        <w:tc>
          <w:tcPr>
            <w:tcW w:w="4961" w:type="dxa"/>
          </w:tcPr>
          <w:p w:rsidR="009617B8" w:rsidRPr="00FD4BBE" w:rsidRDefault="009617B8" w:rsidP="00833947">
            <w:pPr>
              <w:jc w:val="both"/>
              <w:rPr>
                <w:rFonts w:ascii="Arial" w:hAnsi="Arial" w:cs="Arial"/>
              </w:rPr>
            </w:pPr>
            <w:r w:rsidRPr="00FD4BBE">
              <w:rPr>
                <w:rFonts w:ascii="Arial" w:hAnsi="Arial" w:cs="Arial"/>
              </w:rPr>
              <w:t xml:space="preserve">Introdução de produtos ou processos tecnologicamente novos e melhorias significativas a serem implementadas em produtos ou processos existentes nas diversas áreas do conhecimento. Considera-se uma inovação tecnológica de produto ou processo aquela que tenha sido implementada e introduzida no mercado (inovação de produto) ou utilizada no processo de produção (inovação de processo). Formação, capacitação e qualificação de </w:t>
            </w:r>
            <w:r w:rsidRPr="00FD4BBE">
              <w:rPr>
                <w:rFonts w:ascii="Arial" w:hAnsi="Arial" w:cs="Arial"/>
              </w:rPr>
              <w:lastRenderedPageBreak/>
              <w:t>pessoas que atuam na área; produção e divulgação de informações, conhecimentos e material didático na área.</w:t>
            </w:r>
          </w:p>
        </w:tc>
      </w:tr>
      <w:tr w:rsidR="009617B8" w:rsidTr="00833947">
        <w:tc>
          <w:tcPr>
            <w:tcW w:w="2240" w:type="dxa"/>
            <w:vMerge/>
          </w:tcPr>
          <w:p w:rsidR="009617B8" w:rsidRPr="00FD4BBE" w:rsidRDefault="009617B8" w:rsidP="00833947">
            <w:pPr>
              <w:jc w:val="both"/>
              <w:rPr>
                <w:rFonts w:ascii="Arial" w:hAnsi="Arial" w:cs="Arial"/>
              </w:rPr>
            </w:pPr>
          </w:p>
        </w:tc>
        <w:tc>
          <w:tcPr>
            <w:tcW w:w="2693" w:type="dxa"/>
          </w:tcPr>
          <w:p w:rsidR="009617B8" w:rsidRPr="00FD4BBE" w:rsidRDefault="009617B8" w:rsidP="009617B8">
            <w:pPr>
              <w:pStyle w:val="PargrafodaLista"/>
              <w:numPr>
                <w:ilvl w:val="0"/>
                <w:numId w:val="9"/>
              </w:numPr>
              <w:contextualSpacing/>
              <w:jc w:val="both"/>
              <w:rPr>
                <w:rFonts w:ascii="Arial" w:hAnsi="Arial" w:cs="Arial"/>
                <w:sz w:val="20"/>
                <w:szCs w:val="20"/>
              </w:rPr>
            </w:pPr>
            <w:r w:rsidRPr="00FD4BBE">
              <w:rPr>
                <w:rFonts w:ascii="Arial" w:hAnsi="Arial" w:cs="Arial"/>
                <w:sz w:val="20"/>
                <w:szCs w:val="20"/>
              </w:rPr>
              <w:t>Tecnologia da informação</w:t>
            </w:r>
          </w:p>
        </w:tc>
        <w:tc>
          <w:tcPr>
            <w:tcW w:w="4961" w:type="dxa"/>
          </w:tcPr>
          <w:p w:rsidR="009617B8" w:rsidRPr="00FD4BBE" w:rsidRDefault="009617B8" w:rsidP="00833947">
            <w:pPr>
              <w:jc w:val="both"/>
              <w:rPr>
                <w:rFonts w:ascii="Arial" w:hAnsi="Arial" w:cs="Arial"/>
              </w:rPr>
            </w:pPr>
            <w:r w:rsidRPr="00FD4BBE">
              <w:rPr>
                <w:rFonts w:ascii="Arial" w:hAnsi="Arial" w:cs="Arial"/>
              </w:rPr>
              <w:t>Desenvolvimento de programas e projetos, assessoria, consultoria, realização de eventos e outras ações visando ao desenvolvimento de competência informacional – para identificar, localizar, interpretar, relacionar, analisar, sintetizar, avaliar e comunicar informação em fontes impressa ou eletrônicas; inclusão digital; produção e divulgação de informações, conhecimentos e material didático, relacionados ao tema; formação; capacitação e qualificação de pessoas que atuam na área.</w:t>
            </w:r>
          </w:p>
        </w:tc>
      </w:tr>
      <w:tr w:rsidR="009617B8" w:rsidTr="00833947">
        <w:tc>
          <w:tcPr>
            <w:tcW w:w="2240" w:type="dxa"/>
            <w:vMerge/>
          </w:tcPr>
          <w:p w:rsidR="009617B8" w:rsidRPr="00FD4BBE" w:rsidRDefault="009617B8" w:rsidP="00833947">
            <w:pPr>
              <w:jc w:val="both"/>
              <w:rPr>
                <w:rFonts w:ascii="Arial" w:hAnsi="Arial" w:cs="Arial"/>
              </w:rPr>
            </w:pPr>
          </w:p>
        </w:tc>
        <w:tc>
          <w:tcPr>
            <w:tcW w:w="2693" w:type="dxa"/>
          </w:tcPr>
          <w:p w:rsidR="009617B8" w:rsidRPr="00FD4BBE" w:rsidRDefault="009617B8" w:rsidP="009617B8">
            <w:pPr>
              <w:pStyle w:val="NormalWeb"/>
              <w:numPr>
                <w:ilvl w:val="0"/>
                <w:numId w:val="9"/>
              </w:numPr>
              <w:shd w:val="clear" w:color="auto" w:fill="FFFFFF"/>
              <w:spacing w:before="0" w:beforeAutospacing="0" w:after="0" w:afterAutospacing="0"/>
              <w:textAlignment w:val="baseline"/>
              <w:rPr>
                <w:rFonts w:ascii="Arial" w:hAnsi="Arial" w:cs="Arial"/>
                <w:b/>
                <w:sz w:val="20"/>
                <w:szCs w:val="20"/>
              </w:rPr>
            </w:pPr>
            <w:r w:rsidRPr="00FD4BBE">
              <w:rPr>
                <w:rStyle w:val="Forte"/>
                <w:rFonts w:ascii="Arial" w:eastAsiaTheme="majorEastAsia" w:hAnsi="Arial" w:cs="Arial"/>
                <w:sz w:val="20"/>
                <w:szCs w:val="20"/>
                <w:bdr w:val="none" w:sz="0" w:space="0" w:color="auto" w:frame="1"/>
              </w:rPr>
              <w:t>Tecnologia e Gestão da Inovação </w:t>
            </w:r>
            <w:r w:rsidRPr="00FD4BBE">
              <w:rPr>
                <w:rFonts w:ascii="Arial" w:hAnsi="Arial" w:cs="Arial"/>
                <w:b/>
                <w:sz w:val="20"/>
                <w:szCs w:val="20"/>
              </w:rPr>
              <w:t xml:space="preserve"> </w:t>
            </w:r>
          </w:p>
        </w:tc>
        <w:tc>
          <w:tcPr>
            <w:tcW w:w="4961" w:type="dxa"/>
          </w:tcPr>
          <w:p w:rsidR="009617B8" w:rsidRPr="00FD4BBE" w:rsidRDefault="009617B8" w:rsidP="00833947">
            <w:pPr>
              <w:pStyle w:val="NormalWeb"/>
              <w:shd w:val="clear" w:color="auto" w:fill="FFFFFF"/>
              <w:spacing w:before="0" w:beforeAutospacing="0" w:after="300" w:afterAutospacing="0"/>
              <w:textAlignment w:val="baseline"/>
              <w:rPr>
                <w:rFonts w:ascii="Arial" w:hAnsi="Arial" w:cs="Arial"/>
                <w:sz w:val="20"/>
                <w:szCs w:val="20"/>
              </w:rPr>
            </w:pPr>
            <w:r w:rsidRPr="00FD4BBE">
              <w:rPr>
                <w:rFonts w:ascii="Arial" w:hAnsi="Arial" w:cs="Arial"/>
                <w:sz w:val="20"/>
                <w:szCs w:val="20"/>
              </w:rPr>
              <w:t>Esta linha de pesquisa está focada nas implicações da tecnologia e do conhecimento científico para os processos de inovação, modernização e desenvolvimento, valorizando a gestão, produtos, técnicas e processos no ambiente construído. Ela contempla estudos que têm por objetivo: desenvolver estudos e soluções com uso de aspectos matemáticos, computacionais e experimentais visando avaliar o projeto, fabricação, execução e manutenção relacionadas à construção civil; avaliar a sustentabilidade das construções e a compatibilização das soluções de projeto; identificar os impactos diretos e indiretos da implantação de inovações tecnológicas nas diversas funções da empresa, tais como produção e segurança do trabalho; propor novos materiais e componentes, tecnologias construtivas e procedimentos para análise e verificação de desempenho estrutural; diagnosticar impactos relativos ao crescimento urbano e propor soluções para os resíduos de construções tendo como foco a sustentabilidade ambiental.</w:t>
            </w:r>
          </w:p>
          <w:p w:rsidR="009617B8" w:rsidRPr="00FD4BBE" w:rsidRDefault="009617B8" w:rsidP="00833947">
            <w:pPr>
              <w:jc w:val="both"/>
              <w:rPr>
                <w:rFonts w:ascii="Arial" w:hAnsi="Arial" w:cs="Arial"/>
              </w:rPr>
            </w:pPr>
          </w:p>
        </w:tc>
      </w:tr>
    </w:tbl>
    <w:p w:rsidR="009617B8" w:rsidRDefault="009617B8" w:rsidP="009617B8">
      <w:pPr>
        <w:tabs>
          <w:tab w:val="left" w:pos="5520"/>
        </w:tabs>
      </w:pPr>
    </w:p>
    <w:p w:rsidR="009617B8" w:rsidRPr="00D759ED" w:rsidRDefault="009617B8" w:rsidP="009617B8">
      <w:pPr>
        <w:tabs>
          <w:tab w:val="left" w:pos="5520"/>
        </w:tabs>
        <w:rPr>
          <w:rFonts w:ascii="Arial" w:hAnsi="Arial" w:cs="Arial"/>
          <w:b/>
          <w:sz w:val="24"/>
          <w:szCs w:val="24"/>
        </w:rPr>
      </w:pPr>
      <w:r w:rsidRPr="00D759ED">
        <w:rPr>
          <w:rFonts w:ascii="Arial" w:hAnsi="Arial" w:cs="Arial"/>
          <w:b/>
          <w:sz w:val="24"/>
          <w:szCs w:val="24"/>
        </w:rPr>
        <w:t>4.</w:t>
      </w:r>
      <w:r>
        <w:rPr>
          <w:rFonts w:ascii="Arial" w:hAnsi="Arial" w:cs="Arial"/>
          <w:b/>
          <w:sz w:val="24"/>
          <w:szCs w:val="24"/>
        </w:rPr>
        <w:t>3</w:t>
      </w:r>
      <w:r w:rsidRPr="00D759ED">
        <w:rPr>
          <w:rFonts w:ascii="Arial" w:hAnsi="Arial" w:cs="Arial"/>
          <w:b/>
          <w:sz w:val="24"/>
          <w:szCs w:val="24"/>
        </w:rPr>
        <w:t xml:space="preserve"> As Ações de Extensão</w:t>
      </w:r>
    </w:p>
    <w:p w:rsidR="009617B8" w:rsidRDefault="009617B8" w:rsidP="009617B8">
      <w:pPr>
        <w:tabs>
          <w:tab w:val="left" w:pos="5520"/>
        </w:tabs>
      </w:pPr>
    </w:p>
    <w:p w:rsidR="009617B8" w:rsidRPr="00D03296" w:rsidRDefault="009617B8" w:rsidP="009617B8">
      <w:pPr>
        <w:shd w:val="clear" w:color="auto" w:fill="FFFFFF"/>
        <w:spacing w:line="360" w:lineRule="auto"/>
        <w:jc w:val="both"/>
        <w:rPr>
          <w:rFonts w:ascii="Arial" w:hAnsi="Arial" w:cs="Arial"/>
          <w:color w:val="000000"/>
          <w:sz w:val="24"/>
          <w:szCs w:val="24"/>
        </w:rPr>
      </w:pPr>
      <w:r>
        <w:rPr>
          <w:rFonts w:ascii="Arial" w:hAnsi="Arial" w:cs="Arial"/>
          <w:color w:val="000000"/>
          <w:sz w:val="24"/>
          <w:szCs w:val="24"/>
        </w:rPr>
        <w:t xml:space="preserve">                </w:t>
      </w:r>
      <w:r w:rsidRPr="00D03296">
        <w:rPr>
          <w:rFonts w:ascii="Arial" w:hAnsi="Arial" w:cs="Arial"/>
          <w:color w:val="000000"/>
          <w:sz w:val="24"/>
          <w:szCs w:val="24"/>
        </w:rPr>
        <w:t>As ações de extensão, concernentes à filosofia d</w:t>
      </w:r>
      <w:r>
        <w:rPr>
          <w:rFonts w:ascii="Arial" w:hAnsi="Arial" w:cs="Arial"/>
          <w:color w:val="000000"/>
          <w:sz w:val="24"/>
          <w:szCs w:val="24"/>
        </w:rPr>
        <w:t>o Centro Universitário UNICEPLAC</w:t>
      </w:r>
      <w:r w:rsidRPr="00D03296">
        <w:rPr>
          <w:rFonts w:ascii="Arial" w:hAnsi="Arial" w:cs="Arial"/>
          <w:color w:val="000000"/>
          <w:sz w:val="24"/>
          <w:szCs w:val="24"/>
        </w:rPr>
        <w:t>, expressas em seu Projeto de Desenvolvimento Institucional - PDI serão desenvolvidas sob as seguintes formas:</w:t>
      </w:r>
    </w:p>
    <w:p w:rsidR="009617B8" w:rsidRPr="00D03296" w:rsidRDefault="009617B8" w:rsidP="009617B8">
      <w:pPr>
        <w:shd w:val="clear" w:color="auto" w:fill="FFFFFF"/>
        <w:spacing w:line="360" w:lineRule="auto"/>
        <w:jc w:val="both"/>
        <w:rPr>
          <w:rFonts w:ascii="Arial" w:hAnsi="Arial" w:cs="Arial"/>
          <w:color w:val="000000"/>
          <w:sz w:val="24"/>
          <w:szCs w:val="24"/>
        </w:rPr>
      </w:pPr>
      <w:r w:rsidRPr="00D03296">
        <w:rPr>
          <w:rFonts w:ascii="Arial" w:hAnsi="Arial" w:cs="Arial"/>
          <w:color w:val="000000"/>
          <w:sz w:val="24"/>
          <w:szCs w:val="24"/>
        </w:rPr>
        <w:t xml:space="preserve">I – </w:t>
      </w:r>
      <w:r>
        <w:rPr>
          <w:rFonts w:ascii="Arial" w:hAnsi="Arial" w:cs="Arial"/>
          <w:color w:val="000000"/>
          <w:sz w:val="24"/>
          <w:szCs w:val="24"/>
        </w:rPr>
        <w:t>Programas</w:t>
      </w:r>
      <w:r w:rsidRPr="00D03296">
        <w:rPr>
          <w:rFonts w:ascii="Arial" w:hAnsi="Arial" w:cs="Arial"/>
          <w:color w:val="000000"/>
          <w:sz w:val="24"/>
          <w:szCs w:val="24"/>
        </w:rPr>
        <w:t xml:space="preserve"> - Conjunto articulado de projetos e outras atividades de extensão (cursos, eventos, prestação de serviços), de caráter orgânico-institucional, com </w:t>
      </w:r>
      <w:r w:rsidRPr="00D03296">
        <w:rPr>
          <w:rFonts w:ascii="Arial" w:hAnsi="Arial" w:cs="Arial"/>
          <w:color w:val="000000"/>
          <w:sz w:val="24"/>
          <w:szCs w:val="24"/>
        </w:rPr>
        <w:lastRenderedPageBreak/>
        <w:t>clareza de diretrizes e orientadas a um objetivo comum em uma grande ação de médio a longo prazo;</w:t>
      </w:r>
    </w:p>
    <w:p w:rsidR="009617B8" w:rsidRDefault="009617B8" w:rsidP="009617B8">
      <w:pPr>
        <w:shd w:val="clear" w:color="auto" w:fill="FFFFFF"/>
        <w:spacing w:line="360" w:lineRule="auto"/>
        <w:jc w:val="both"/>
        <w:rPr>
          <w:rFonts w:ascii="Arial" w:hAnsi="Arial" w:cs="Arial"/>
          <w:color w:val="000000"/>
          <w:sz w:val="24"/>
          <w:szCs w:val="24"/>
        </w:rPr>
      </w:pPr>
      <w:r w:rsidRPr="00D03296">
        <w:rPr>
          <w:rFonts w:ascii="Arial" w:hAnsi="Arial" w:cs="Arial"/>
          <w:color w:val="000000"/>
          <w:sz w:val="24"/>
          <w:szCs w:val="24"/>
        </w:rPr>
        <w:t xml:space="preserve">II – </w:t>
      </w:r>
      <w:r>
        <w:rPr>
          <w:rFonts w:ascii="Arial" w:hAnsi="Arial" w:cs="Arial"/>
          <w:color w:val="000000"/>
          <w:sz w:val="24"/>
          <w:szCs w:val="24"/>
        </w:rPr>
        <w:t>Projetos</w:t>
      </w:r>
      <w:r w:rsidRPr="00D03296">
        <w:rPr>
          <w:rFonts w:ascii="Arial" w:hAnsi="Arial" w:cs="Arial"/>
          <w:color w:val="000000"/>
          <w:sz w:val="24"/>
          <w:szCs w:val="24"/>
        </w:rPr>
        <w:t xml:space="preserve"> - conjunto de ações contínuas de caráter comunitário, educativo, cultural, científico e tecnológico, vinculado ou não a um programa;</w:t>
      </w:r>
    </w:p>
    <w:p w:rsidR="009617B8" w:rsidRDefault="009617B8" w:rsidP="009617B8">
      <w:pPr>
        <w:shd w:val="clear" w:color="auto" w:fill="FFFFFF"/>
        <w:spacing w:line="360" w:lineRule="auto"/>
        <w:jc w:val="both"/>
        <w:rPr>
          <w:rFonts w:ascii="Arial" w:hAnsi="Arial" w:cs="Arial"/>
          <w:color w:val="000000"/>
          <w:sz w:val="24"/>
          <w:szCs w:val="24"/>
        </w:rPr>
      </w:pPr>
      <w:r>
        <w:rPr>
          <w:rFonts w:ascii="Arial" w:hAnsi="Arial" w:cs="Arial"/>
          <w:color w:val="000000"/>
          <w:sz w:val="24"/>
          <w:szCs w:val="24"/>
        </w:rPr>
        <w:t>III – C</w:t>
      </w:r>
      <w:r w:rsidRPr="00D03296">
        <w:rPr>
          <w:rFonts w:ascii="Arial" w:hAnsi="Arial" w:cs="Arial"/>
          <w:color w:val="000000"/>
          <w:sz w:val="24"/>
          <w:szCs w:val="24"/>
        </w:rPr>
        <w:t>ursos ou toda atividade acadêmica, técnica ou cultural que não está inclusa como parte integrante e obrigatório do ensino de grad</w:t>
      </w:r>
      <w:r>
        <w:rPr>
          <w:rFonts w:ascii="Arial" w:hAnsi="Arial" w:cs="Arial"/>
          <w:color w:val="000000"/>
          <w:sz w:val="24"/>
          <w:szCs w:val="24"/>
        </w:rPr>
        <w:t>uação e da pós-graduação;</w:t>
      </w:r>
    </w:p>
    <w:p w:rsidR="009617B8" w:rsidRPr="00D03296" w:rsidRDefault="009617B8" w:rsidP="009617B8">
      <w:pPr>
        <w:shd w:val="clear" w:color="auto" w:fill="FFFFFF"/>
        <w:spacing w:line="360" w:lineRule="auto"/>
        <w:jc w:val="both"/>
        <w:rPr>
          <w:rFonts w:ascii="Arial" w:hAnsi="Arial" w:cs="Arial"/>
          <w:color w:val="000000"/>
          <w:sz w:val="24"/>
          <w:szCs w:val="24"/>
        </w:rPr>
      </w:pPr>
      <w:r>
        <w:rPr>
          <w:rFonts w:ascii="Arial" w:hAnsi="Arial" w:cs="Arial"/>
          <w:color w:val="000000"/>
          <w:sz w:val="24"/>
          <w:szCs w:val="24"/>
        </w:rPr>
        <w:t>IV – Eventos</w:t>
      </w:r>
      <w:r w:rsidRPr="00D03296">
        <w:rPr>
          <w:rFonts w:ascii="Arial" w:hAnsi="Arial" w:cs="Arial"/>
          <w:color w:val="000000"/>
          <w:sz w:val="24"/>
          <w:szCs w:val="24"/>
        </w:rPr>
        <w:t>, caracterizados como:</w:t>
      </w:r>
    </w:p>
    <w:p w:rsidR="009617B8" w:rsidRPr="00D03296" w:rsidRDefault="009617B8" w:rsidP="009617B8">
      <w:pPr>
        <w:pStyle w:val="PargrafodaLista"/>
        <w:numPr>
          <w:ilvl w:val="0"/>
          <w:numId w:val="6"/>
        </w:numPr>
        <w:shd w:val="clear" w:color="auto" w:fill="FFFFFF"/>
        <w:tabs>
          <w:tab w:val="left" w:pos="851"/>
        </w:tabs>
        <w:spacing w:line="360" w:lineRule="auto"/>
        <w:ind w:left="0" w:firstLine="0"/>
        <w:contextualSpacing/>
        <w:jc w:val="both"/>
        <w:rPr>
          <w:rFonts w:ascii="Arial" w:hAnsi="Arial" w:cs="Arial"/>
          <w:color w:val="000000"/>
        </w:rPr>
      </w:pPr>
      <w:r>
        <w:rPr>
          <w:rFonts w:ascii="Arial" w:hAnsi="Arial" w:cs="Arial"/>
          <w:color w:val="000000"/>
        </w:rPr>
        <w:t>s</w:t>
      </w:r>
      <w:r w:rsidRPr="00D03296">
        <w:rPr>
          <w:rFonts w:ascii="Arial" w:hAnsi="Arial" w:cs="Arial"/>
          <w:color w:val="000000"/>
        </w:rPr>
        <w:t>eminário - Eventos científicos de âmbito menor do que o congresso, tanto em termos de duração (horas a 1 ou 2 dias), quanto ao número de participantes, cobrindo campos de conhecimento mais especializados. Incluem-se nessa classificação: encontro, simpósio, jornada, colóquio, fórum, reunião;</w:t>
      </w:r>
    </w:p>
    <w:p w:rsidR="009617B8" w:rsidRPr="00D03296" w:rsidRDefault="009617B8" w:rsidP="009617B8">
      <w:pPr>
        <w:pStyle w:val="PargrafodaLista"/>
        <w:numPr>
          <w:ilvl w:val="0"/>
          <w:numId w:val="6"/>
        </w:numPr>
        <w:shd w:val="clear" w:color="auto" w:fill="FFFFFF"/>
        <w:tabs>
          <w:tab w:val="left" w:pos="851"/>
        </w:tabs>
        <w:spacing w:line="360" w:lineRule="auto"/>
        <w:ind w:left="0" w:firstLine="0"/>
        <w:contextualSpacing/>
        <w:jc w:val="both"/>
        <w:rPr>
          <w:rFonts w:ascii="Arial" w:hAnsi="Arial" w:cs="Arial"/>
          <w:color w:val="000000"/>
        </w:rPr>
      </w:pPr>
      <w:r>
        <w:rPr>
          <w:rFonts w:ascii="Arial" w:hAnsi="Arial" w:cs="Arial"/>
          <w:color w:val="000000"/>
        </w:rPr>
        <w:t>ciclo de Debates - Encontros sequ</w:t>
      </w:r>
      <w:r w:rsidRPr="00D03296">
        <w:rPr>
          <w:rFonts w:ascii="Arial" w:hAnsi="Arial" w:cs="Arial"/>
          <w:color w:val="000000"/>
        </w:rPr>
        <w:t>enciais que visam à discussão de um tema específico. Inclui: Ciclo, Circuito, Semana;</w:t>
      </w:r>
    </w:p>
    <w:p w:rsidR="009617B8" w:rsidRPr="00D03296" w:rsidRDefault="009617B8" w:rsidP="009617B8">
      <w:pPr>
        <w:pStyle w:val="PargrafodaLista"/>
        <w:numPr>
          <w:ilvl w:val="0"/>
          <w:numId w:val="6"/>
        </w:numPr>
        <w:shd w:val="clear" w:color="auto" w:fill="FFFFFF"/>
        <w:tabs>
          <w:tab w:val="left" w:pos="851"/>
        </w:tabs>
        <w:spacing w:line="360" w:lineRule="auto"/>
        <w:ind w:left="0" w:firstLine="0"/>
        <w:contextualSpacing/>
        <w:jc w:val="both"/>
        <w:rPr>
          <w:rFonts w:ascii="Arial" w:hAnsi="Arial" w:cs="Arial"/>
          <w:color w:val="000000"/>
        </w:rPr>
      </w:pPr>
      <w:r w:rsidRPr="00D03296">
        <w:rPr>
          <w:rFonts w:ascii="Arial" w:hAnsi="Arial" w:cs="Arial"/>
          <w:color w:val="000000"/>
        </w:rPr>
        <w:t xml:space="preserve"> </w:t>
      </w:r>
      <w:r>
        <w:rPr>
          <w:rFonts w:ascii="Arial" w:hAnsi="Arial" w:cs="Arial"/>
          <w:color w:val="000000"/>
        </w:rPr>
        <w:t>e</w:t>
      </w:r>
      <w:r w:rsidRPr="00D03296">
        <w:rPr>
          <w:rFonts w:ascii="Arial" w:hAnsi="Arial" w:cs="Arial"/>
          <w:color w:val="000000"/>
        </w:rPr>
        <w:t>xposição - Exibição pública de obras de arte, produtos, serviços, etc. Inclui: feira, salão, mostra, lançamento;</w:t>
      </w:r>
    </w:p>
    <w:p w:rsidR="009617B8" w:rsidRPr="00D03296" w:rsidRDefault="009617B8" w:rsidP="009617B8">
      <w:pPr>
        <w:pStyle w:val="PargrafodaLista"/>
        <w:numPr>
          <w:ilvl w:val="0"/>
          <w:numId w:val="6"/>
        </w:numPr>
        <w:shd w:val="clear" w:color="auto" w:fill="FFFFFF"/>
        <w:tabs>
          <w:tab w:val="left" w:pos="851"/>
        </w:tabs>
        <w:spacing w:line="360" w:lineRule="auto"/>
        <w:ind w:left="0" w:firstLine="0"/>
        <w:contextualSpacing/>
        <w:jc w:val="both"/>
        <w:rPr>
          <w:rFonts w:ascii="Arial" w:hAnsi="Arial" w:cs="Arial"/>
          <w:color w:val="000000"/>
        </w:rPr>
      </w:pPr>
      <w:r>
        <w:rPr>
          <w:rFonts w:ascii="Arial" w:hAnsi="Arial" w:cs="Arial"/>
          <w:color w:val="000000"/>
        </w:rPr>
        <w:t>e</w:t>
      </w:r>
      <w:r w:rsidRPr="00D03296">
        <w:rPr>
          <w:rFonts w:ascii="Arial" w:hAnsi="Arial" w:cs="Arial"/>
          <w:color w:val="000000"/>
        </w:rPr>
        <w:t>spetáculo - Demonstração pública de eventos cênicos musicais. Inclui: recital, concerto, show, apresentação teatral, exibição de cinema e televisão, demonstração pública de canto, dança e interpretação musical;</w:t>
      </w:r>
    </w:p>
    <w:p w:rsidR="009617B8" w:rsidRPr="00D03296" w:rsidRDefault="009617B8" w:rsidP="009617B8">
      <w:pPr>
        <w:pStyle w:val="PargrafodaLista"/>
        <w:numPr>
          <w:ilvl w:val="0"/>
          <w:numId w:val="6"/>
        </w:numPr>
        <w:shd w:val="clear" w:color="auto" w:fill="FFFFFF"/>
        <w:tabs>
          <w:tab w:val="left" w:pos="851"/>
        </w:tabs>
        <w:spacing w:line="360" w:lineRule="auto"/>
        <w:ind w:left="0" w:firstLine="0"/>
        <w:contextualSpacing/>
        <w:jc w:val="both"/>
        <w:rPr>
          <w:rFonts w:ascii="Arial" w:hAnsi="Arial" w:cs="Arial"/>
          <w:color w:val="000000"/>
        </w:rPr>
      </w:pPr>
      <w:r>
        <w:rPr>
          <w:rFonts w:ascii="Arial" w:hAnsi="Arial" w:cs="Arial"/>
          <w:color w:val="000000"/>
        </w:rPr>
        <w:t>e</w:t>
      </w:r>
      <w:r w:rsidRPr="00D03296">
        <w:rPr>
          <w:rFonts w:ascii="Arial" w:hAnsi="Arial" w:cs="Arial"/>
          <w:color w:val="000000"/>
        </w:rPr>
        <w:t>vento esportivo - Inclui: campeonato, torneio, olimpíada, apresentação esportiva;</w:t>
      </w:r>
    </w:p>
    <w:p w:rsidR="009617B8" w:rsidRPr="00D03296" w:rsidRDefault="009617B8" w:rsidP="009617B8">
      <w:pPr>
        <w:pStyle w:val="PargrafodaLista"/>
        <w:numPr>
          <w:ilvl w:val="0"/>
          <w:numId w:val="6"/>
        </w:numPr>
        <w:shd w:val="clear" w:color="auto" w:fill="FFFFFF"/>
        <w:tabs>
          <w:tab w:val="left" w:pos="851"/>
        </w:tabs>
        <w:spacing w:line="360" w:lineRule="auto"/>
        <w:ind w:left="0" w:firstLine="0"/>
        <w:contextualSpacing/>
        <w:jc w:val="both"/>
        <w:rPr>
          <w:rFonts w:ascii="Arial" w:hAnsi="Arial" w:cs="Arial"/>
          <w:color w:val="000000"/>
        </w:rPr>
      </w:pPr>
      <w:r>
        <w:rPr>
          <w:rFonts w:ascii="Arial" w:hAnsi="Arial" w:cs="Arial"/>
          <w:color w:val="000000"/>
        </w:rPr>
        <w:t>f</w:t>
      </w:r>
      <w:r w:rsidRPr="00D03296">
        <w:rPr>
          <w:rFonts w:ascii="Arial" w:hAnsi="Arial" w:cs="Arial"/>
          <w:color w:val="000000"/>
        </w:rPr>
        <w:t>estival - Série de ações/eventos culturais ou esportivos realizados concomitantemente, em período determinado tempo, geralmente com edições periódicas;</w:t>
      </w:r>
    </w:p>
    <w:p w:rsidR="009617B8" w:rsidRPr="00D03296" w:rsidRDefault="009617B8" w:rsidP="009617B8">
      <w:pPr>
        <w:pStyle w:val="PargrafodaLista"/>
        <w:numPr>
          <w:ilvl w:val="0"/>
          <w:numId w:val="6"/>
        </w:numPr>
        <w:shd w:val="clear" w:color="auto" w:fill="FFFFFF"/>
        <w:tabs>
          <w:tab w:val="left" w:pos="851"/>
        </w:tabs>
        <w:spacing w:line="360" w:lineRule="auto"/>
        <w:ind w:left="0" w:firstLine="0"/>
        <w:contextualSpacing/>
        <w:jc w:val="both"/>
        <w:rPr>
          <w:rFonts w:ascii="Arial" w:hAnsi="Arial" w:cs="Arial"/>
          <w:color w:val="000000"/>
        </w:rPr>
      </w:pPr>
      <w:r>
        <w:rPr>
          <w:rFonts w:ascii="Arial" w:hAnsi="Arial" w:cs="Arial"/>
          <w:color w:val="000000"/>
        </w:rPr>
        <w:t>o</w:t>
      </w:r>
      <w:r w:rsidRPr="00D03296">
        <w:rPr>
          <w:rFonts w:ascii="Arial" w:hAnsi="Arial" w:cs="Arial"/>
          <w:color w:val="000000"/>
        </w:rPr>
        <w:t>utros – Outros eventos não classificados nos itens anteriores;</w:t>
      </w:r>
    </w:p>
    <w:p w:rsidR="009617B8" w:rsidRPr="00D03296" w:rsidRDefault="009617B8" w:rsidP="009617B8">
      <w:pPr>
        <w:shd w:val="clear" w:color="auto" w:fill="FFFFFF"/>
        <w:spacing w:line="360" w:lineRule="auto"/>
        <w:jc w:val="both"/>
        <w:rPr>
          <w:rFonts w:ascii="Arial" w:hAnsi="Arial" w:cs="Arial"/>
          <w:color w:val="000000"/>
          <w:sz w:val="24"/>
          <w:szCs w:val="24"/>
        </w:rPr>
      </w:pPr>
      <w:r w:rsidRPr="00D03296">
        <w:rPr>
          <w:rFonts w:ascii="Arial" w:hAnsi="Arial" w:cs="Arial"/>
          <w:color w:val="000000"/>
          <w:sz w:val="24"/>
          <w:szCs w:val="24"/>
        </w:rPr>
        <w:t xml:space="preserve">V – </w:t>
      </w:r>
      <w:r>
        <w:rPr>
          <w:rFonts w:ascii="Arial" w:hAnsi="Arial" w:cs="Arial"/>
          <w:color w:val="000000"/>
          <w:sz w:val="24"/>
          <w:szCs w:val="24"/>
        </w:rPr>
        <w:t>Prestação</w:t>
      </w:r>
      <w:r w:rsidRPr="00D03296">
        <w:rPr>
          <w:rFonts w:ascii="Arial" w:hAnsi="Arial" w:cs="Arial"/>
          <w:color w:val="000000"/>
          <w:sz w:val="24"/>
          <w:szCs w:val="24"/>
        </w:rPr>
        <w:t xml:space="preserve"> de Serviços - Realização de trabalho oferecido pel</w:t>
      </w:r>
      <w:r>
        <w:rPr>
          <w:rFonts w:ascii="Arial" w:hAnsi="Arial" w:cs="Arial"/>
          <w:color w:val="000000"/>
          <w:sz w:val="24"/>
          <w:szCs w:val="24"/>
        </w:rPr>
        <w:t xml:space="preserve">o </w:t>
      </w:r>
      <w:r w:rsidRPr="00940811">
        <w:rPr>
          <w:rFonts w:ascii="Arial" w:hAnsi="Arial" w:cs="Arial"/>
          <w:sz w:val="24"/>
          <w:szCs w:val="24"/>
        </w:rPr>
        <w:t>Centro Universitário</w:t>
      </w:r>
      <w:r w:rsidRPr="00D03296">
        <w:rPr>
          <w:rFonts w:ascii="Arial" w:hAnsi="Arial" w:cs="Arial"/>
          <w:color w:val="000000"/>
          <w:sz w:val="24"/>
          <w:szCs w:val="24"/>
        </w:rPr>
        <w:t xml:space="preserve"> </w:t>
      </w:r>
      <w:r>
        <w:rPr>
          <w:rFonts w:ascii="Arial" w:hAnsi="Arial" w:cs="Arial"/>
          <w:color w:val="000000"/>
          <w:sz w:val="24"/>
          <w:szCs w:val="24"/>
        </w:rPr>
        <w:t xml:space="preserve">UNICEPLAC </w:t>
      </w:r>
      <w:r w:rsidRPr="00D03296">
        <w:rPr>
          <w:rFonts w:ascii="Arial" w:hAnsi="Arial" w:cs="Arial"/>
          <w:color w:val="000000"/>
          <w:sz w:val="24"/>
          <w:szCs w:val="24"/>
        </w:rPr>
        <w:t>ou contratado por terceiros (comunidade ou empresa). A prestação de serviços se caracteriza por intangibilidade, inseparabilidade e não resulta na posse de um bem;</w:t>
      </w:r>
    </w:p>
    <w:p w:rsidR="009617B8" w:rsidRDefault="009617B8" w:rsidP="009617B8">
      <w:pPr>
        <w:shd w:val="clear" w:color="auto" w:fill="FFFFFF"/>
        <w:spacing w:line="360" w:lineRule="auto"/>
        <w:jc w:val="both"/>
        <w:rPr>
          <w:rFonts w:ascii="Arial" w:hAnsi="Arial" w:cs="Arial"/>
          <w:color w:val="000000"/>
          <w:sz w:val="24"/>
          <w:szCs w:val="24"/>
        </w:rPr>
      </w:pPr>
      <w:r w:rsidRPr="00D03296">
        <w:rPr>
          <w:rFonts w:ascii="Arial" w:hAnsi="Arial" w:cs="Arial"/>
          <w:color w:val="000000"/>
          <w:sz w:val="24"/>
          <w:szCs w:val="24"/>
        </w:rPr>
        <w:lastRenderedPageBreak/>
        <w:t xml:space="preserve">VI - </w:t>
      </w:r>
      <w:r>
        <w:rPr>
          <w:rFonts w:ascii="Arial" w:hAnsi="Arial" w:cs="Arial"/>
          <w:color w:val="000000"/>
          <w:sz w:val="24"/>
          <w:szCs w:val="24"/>
        </w:rPr>
        <w:t>Atendimento</w:t>
      </w:r>
      <w:r w:rsidRPr="00D03296">
        <w:rPr>
          <w:rFonts w:ascii="Arial" w:hAnsi="Arial" w:cs="Arial"/>
          <w:color w:val="000000"/>
          <w:sz w:val="24"/>
          <w:szCs w:val="24"/>
        </w:rPr>
        <w:t xml:space="preserve"> ao Público em Espaços de Cultura, Ciência e Tecnologia - Público atendido em visitação nos Espaços e Museus de Cultura, Ciência e Tecnologia da IES. Inclui: visitas em museus, centros de memória, estação ecológica, observatório, planetário, museus de ciência, cine clube, dentre outros.</w:t>
      </w:r>
    </w:p>
    <w:p w:rsidR="009617B8" w:rsidRPr="00E6348B" w:rsidRDefault="009617B8" w:rsidP="009617B8">
      <w:pPr>
        <w:shd w:val="clear" w:color="auto" w:fill="FFFFFF"/>
        <w:spacing w:line="360" w:lineRule="auto"/>
        <w:jc w:val="both"/>
        <w:rPr>
          <w:rFonts w:ascii="Arial" w:hAnsi="Arial" w:cs="Arial"/>
          <w:color w:val="000000"/>
          <w:sz w:val="24"/>
          <w:szCs w:val="24"/>
        </w:rPr>
      </w:pPr>
      <w:r>
        <w:rPr>
          <w:rFonts w:ascii="Arial" w:hAnsi="Arial" w:cs="Arial"/>
          <w:b/>
          <w:color w:val="000000"/>
          <w:sz w:val="24"/>
          <w:szCs w:val="24"/>
        </w:rPr>
        <w:t xml:space="preserve">         </w:t>
      </w:r>
      <w:r>
        <w:rPr>
          <w:rFonts w:ascii="Arial" w:hAnsi="Arial" w:cs="Arial"/>
          <w:color w:val="000000"/>
          <w:sz w:val="24"/>
          <w:szCs w:val="24"/>
        </w:rPr>
        <w:t xml:space="preserve"> Tanto os cursos na modalidade presencial quanto </w:t>
      </w:r>
      <w:proofErr w:type="spellStart"/>
      <w:r>
        <w:rPr>
          <w:rFonts w:ascii="Arial" w:hAnsi="Arial" w:cs="Arial"/>
          <w:color w:val="000000"/>
          <w:sz w:val="24"/>
          <w:szCs w:val="24"/>
        </w:rPr>
        <w:t>EaD</w:t>
      </w:r>
      <w:proofErr w:type="spellEnd"/>
      <w:r>
        <w:rPr>
          <w:rFonts w:ascii="Arial" w:hAnsi="Arial" w:cs="Arial"/>
          <w:color w:val="000000"/>
          <w:sz w:val="24"/>
          <w:szCs w:val="24"/>
        </w:rPr>
        <w:t xml:space="preserve"> podem apresentar e desenvolver os projetos de extensão, sendo que </w:t>
      </w:r>
      <w:r w:rsidRPr="00E6348B">
        <w:rPr>
          <w:rFonts w:ascii="Arial" w:hAnsi="Arial" w:cs="Arial"/>
          <w:sz w:val="24"/>
          <w:szCs w:val="24"/>
        </w:rPr>
        <w:t>todos os projetos passarão por adequações condizentes com a modalidade a distância</w:t>
      </w:r>
      <w:r w:rsidRPr="00E6348B">
        <w:rPr>
          <w:rFonts w:ascii="Arial" w:hAnsi="Arial" w:cs="Arial"/>
          <w:color w:val="000000"/>
          <w:sz w:val="24"/>
          <w:szCs w:val="24"/>
        </w:rPr>
        <w:t>.</w:t>
      </w:r>
    </w:p>
    <w:p w:rsidR="009617B8" w:rsidRDefault="009617B8" w:rsidP="009617B8">
      <w:pPr>
        <w:tabs>
          <w:tab w:val="left" w:pos="5520"/>
        </w:tabs>
      </w:pPr>
    </w:p>
    <w:p w:rsidR="009617B8" w:rsidRPr="00D759ED" w:rsidRDefault="009617B8" w:rsidP="009617B8">
      <w:pPr>
        <w:tabs>
          <w:tab w:val="left" w:pos="5520"/>
        </w:tabs>
        <w:rPr>
          <w:rFonts w:ascii="Arial" w:hAnsi="Arial" w:cs="Arial"/>
          <w:b/>
          <w:sz w:val="24"/>
          <w:szCs w:val="24"/>
        </w:rPr>
      </w:pPr>
      <w:r w:rsidRPr="00D759ED">
        <w:rPr>
          <w:rFonts w:ascii="Arial" w:hAnsi="Arial" w:cs="Arial"/>
          <w:b/>
          <w:sz w:val="24"/>
          <w:szCs w:val="24"/>
        </w:rPr>
        <w:t xml:space="preserve">5 A EXTENSÃO E A FLEXIBILIZAÇÃO CURRICULAR </w:t>
      </w:r>
    </w:p>
    <w:p w:rsidR="009617B8" w:rsidRDefault="009617B8" w:rsidP="009617B8">
      <w:pPr>
        <w:tabs>
          <w:tab w:val="left" w:pos="5520"/>
        </w:tabs>
        <w:rPr>
          <w:rFonts w:ascii="Arial" w:hAnsi="Arial" w:cs="Arial"/>
          <w:sz w:val="24"/>
          <w:szCs w:val="24"/>
        </w:rPr>
      </w:pPr>
    </w:p>
    <w:p w:rsidR="009617B8" w:rsidRPr="009617B8" w:rsidRDefault="009617B8" w:rsidP="009617B8">
      <w:pPr>
        <w:pStyle w:val="Ttulo3"/>
        <w:shd w:val="clear" w:color="auto" w:fill="FFFFFF"/>
        <w:spacing w:after="150" w:line="360" w:lineRule="auto"/>
        <w:jc w:val="both"/>
        <w:rPr>
          <w:rFonts w:ascii="Arial" w:hAnsi="Arial" w:cs="Arial"/>
          <w:color w:val="auto"/>
        </w:rPr>
      </w:pPr>
      <w:r>
        <w:rPr>
          <w:rFonts w:ascii="Arial" w:hAnsi="Arial" w:cs="Arial"/>
        </w:rPr>
        <w:t xml:space="preserve">           </w:t>
      </w:r>
      <w:r w:rsidRPr="009617B8">
        <w:rPr>
          <w:rFonts w:ascii="Arial" w:hAnsi="Arial" w:cs="Arial"/>
          <w:color w:val="auto"/>
        </w:rPr>
        <w:t xml:space="preserve">Entendendo que a proposição descrita no Projeto Pedagógico do Curso (PPC) é que deve nortear toda a flexibilização do currículo do estudante, e, entendendo que a extensão deve fazer parte das ações estabelecidas no PPC de cada curso devido às suas especificidades, o atendimento à resolução CNE/CES nº7 de 18 de dezembro de 2018, que versa sobre a </w:t>
      </w:r>
      <w:proofErr w:type="spellStart"/>
      <w:r w:rsidRPr="009617B8">
        <w:rPr>
          <w:rFonts w:ascii="Arial" w:hAnsi="Arial" w:cs="Arial"/>
          <w:color w:val="auto"/>
        </w:rPr>
        <w:t>curricularização</w:t>
      </w:r>
      <w:proofErr w:type="spellEnd"/>
      <w:r w:rsidRPr="009617B8">
        <w:rPr>
          <w:rFonts w:ascii="Arial" w:hAnsi="Arial" w:cs="Arial"/>
          <w:color w:val="auto"/>
        </w:rPr>
        <w:t xml:space="preserve"> da extensão, não deve ser apenas uma reorganização de disciplinas e nem considerar apenas as atividades complementares como forma de flexibilização curricular.</w:t>
      </w:r>
    </w:p>
    <w:p w:rsidR="009617B8" w:rsidRDefault="009617B8" w:rsidP="009617B8">
      <w:pPr>
        <w:tabs>
          <w:tab w:val="left" w:pos="5520"/>
        </w:tabs>
        <w:spacing w:line="360" w:lineRule="auto"/>
        <w:jc w:val="both"/>
        <w:rPr>
          <w:rFonts w:ascii="Arial" w:hAnsi="Arial" w:cs="Arial"/>
          <w:sz w:val="24"/>
          <w:szCs w:val="24"/>
        </w:rPr>
      </w:pPr>
      <w:r>
        <w:rPr>
          <w:rFonts w:ascii="Arial" w:hAnsi="Arial" w:cs="Arial"/>
          <w:sz w:val="24"/>
          <w:szCs w:val="24"/>
        </w:rPr>
        <w:t xml:space="preserve">             A flexibilização curricular deve ser pensada dentro do núcleo docente estruturante (NDE) ouvido os professores de cada curso que estão na prática docente e consequentemente nas ações extensionistas, para garantir que práticas exitosas possam ser conseguidas dentro de cada componente curricular.</w:t>
      </w:r>
    </w:p>
    <w:p w:rsidR="009617B8" w:rsidRPr="00E6348B" w:rsidRDefault="009617B8" w:rsidP="009617B8">
      <w:pPr>
        <w:tabs>
          <w:tab w:val="left" w:pos="5520"/>
        </w:tabs>
        <w:spacing w:line="360" w:lineRule="auto"/>
        <w:jc w:val="both"/>
        <w:rPr>
          <w:rFonts w:ascii="Arial" w:hAnsi="Arial" w:cs="Arial"/>
          <w:sz w:val="24"/>
          <w:szCs w:val="24"/>
        </w:rPr>
      </w:pPr>
      <w:r>
        <w:rPr>
          <w:rFonts w:ascii="Arial" w:hAnsi="Arial" w:cs="Arial"/>
          <w:sz w:val="24"/>
          <w:szCs w:val="24"/>
        </w:rPr>
        <w:t xml:space="preserve">            A inclusão do componente curricular Projeto Integrador, também vem para flexibilizar o currículo pois a proposta é que nele seja desenvolvido ações envolvendo a sociedade civil com práticas voltadas aos assuntos abordados no semestre letivo que o estudante se encontra. Permitindo que o estudante </w:t>
      </w:r>
      <w:r>
        <w:rPr>
          <w:rFonts w:ascii="Arial" w:hAnsi="Arial" w:cs="Arial"/>
          <w:sz w:val="24"/>
          <w:szCs w:val="24"/>
        </w:rPr>
        <w:lastRenderedPageBreak/>
        <w:t xml:space="preserve">aumente o </w:t>
      </w:r>
      <w:proofErr w:type="spellStart"/>
      <w:r>
        <w:rPr>
          <w:rFonts w:ascii="Arial" w:hAnsi="Arial" w:cs="Arial"/>
          <w:sz w:val="24"/>
          <w:szCs w:val="24"/>
        </w:rPr>
        <w:t>vinculo</w:t>
      </w:r>
      <w:proofErr w:type="spellEnd"/>
      <w:r>
        <w:rPr>
          <w:rFonts w:ascii="Arial" w:hAnsi="Arial" w:cs="Arial"/>
          <w:sz w:val="24"/>
          <w:szCs w:val="24"/>
        </w:rPr>
        <w:t xml:space="preserve"> com o indivíduo e tenha contato com a prática profissional a qual ele se tornará egresso.</w:t>
      </w:r>
    </w:p>
    <w:p w:rsidR="009617B8" w:rsidRDefault="009617B8" w:rsidP="009617B8">
      <w:pPr>
        <w:tabs>
          <w:tab w:val="left" w:pos="5520"/>
        </w:tabs>
      </w:pPr>
    </w:p>
    <w:p w:rsidR="009617B8" w:rsidRPr="00D759ED" w:rsidRDefault="009617B8" w:rsidP="009617B8">
      <w:pPr>
        <w:tabs>
          <w:tab w:val="left" w:pos="5520"/>
        </w:tabs>
        <w:rPr>
          <w:rFonts w:ascii="Arial" w:hAnsi="Arial" w:cs="Arial"/>
          <w:b/>
          <w:sz w:val="24"/>
          <w:szCs w:val="24"/>
        </w:rPr>
      </w:pPr>
      <w:r w:rsidRPr="00D759ED">
        <w:rPr>
          <w:rFonts w:ascii="Arial" w:hAnsi="Arial" w:cs="Arial"/>
          <w:b/>
          <w:sz w:val="24"/>
          <w:szCs w:val="24"/>
        </w:rPr>
        <w:t>6 A REGULAMENTAÇÃO DE EXTENSÃO NO UNICEPLAC</w:t>
      </w:r>
    </w:p>
    <w:p w:rsidR="009617B8" w:rsidRPr="00D03296" w:rsidRDefault="009617B8" w:rsidP="009617B8">
      <w:pPr>
        <w:shd w:val="clear" w:color="auto" w:fill="FFFFFF"/>
        <w:spacing w:line="360" w:lineRule="auto"/>
        <w:jc w:val="both"/>
        <w:rPr>
          <w:rFonts w:ascii="Arial" w:hAnsi="Arial" w:cs="Arial"/>
          <w:b/>
          <w:bCs/>
          <w:color w:val="000000"/>
          <w:sz w:val="24"/>
          <w:szCs w:val="24"/>
        </w:rPr>
      </w:pPr>
    </w:p>
    <w:p w:rsidR="009617B8" w:rsidRDefault="009617B8" w:rsidP="009617B8">
      <w:pPr>
        <w:pStyle w:val="Ttulo1"/>
        <w:spacing w:line="360" w:lineRule="auto"/>
        <w:jc w:val="center"/>
        <w:rPr>
          <w:rFonts w:ascii="Arial" w:hAnsi="Arial" w:cs="Arial"/>
          <w:b/>
          <w:bCs/>
          <w:color w:val="000000"/>
          <w:sz w:val="24"/>
          <w:szCs w:val="24"/>
        </w:rPr>
      </w:pPr>
      <w:bookmarkStart w:id="0" w:name="_Toc413149177"/>
      <w:bookmarkStart w:id="1" w:name="_Toc482104853"/>
      <w:r w:rsidRPr="00D03296">
        <w:rPr>
          <w:rFonts w:ascii="Arial" w:hAnsi="Arial" w:cs="Arial"/>
          <w:b/>
          <w:bCs/>
          <w:color w:val="000000"/>
          <w:sz w:val="24"/>
          <w:szCs w:val="24"/>
        </w:rPr>
        <w:t xml:space="preserve">CAPÍTULO I </w:t>
      </w:r>
      <w:r>
        <w:rPr>
          <w:rFonts w:ascii="Arial" w:hAnsi="Arial" w:cs="Arial"/>
          <w:b/>
          <w:bCs/>
          <w:color w:val="000000"/>
          <w:sz w:val="24"/>
          <w:szCs w:val="24"/>
        </w:rPr>
        <w:t xml:space="preserve">– </w:t>
      </w:r>
      <w:bookmarkEnd w:id="0"/>
      <w:bookmarkEnd w:id="1"/>
      <w:r>
        <w:rPr>
          <w:rFonts w:ascii="Arial" w:hAnsi="Arial" w:cs="Arial"/>
          <w:b/>
          <w:bCs/>
          <w:color w:val="000000"/>
          <w:sz w:val="24"/>
          <w:szCs w:val="24"/>
        </w:rPr>
        <w:t>APRESENTAÇÃO</w:t>
      </w:r>
    </w:p>
    <w:p w:rsidR="009617B8" w:rsidRPr="00CC4A67" w:rsidRDefault="009617B8" w:rsidP="009617B8">
      <w:pPr>
        <w:spacing w:line="360" w:lineRule="auto"/>
        <w:jc w:val="both"/>
      </w:pPr>
    </w:p>
    <w:p w:rsidR="009617B8" w:rsidRDefault="009617B8" w:rsidP="009617B8">
      <w:pPr>
        <w:shd w:val="clear" w:color="auto" w:fill="FFFFFF"/>
        <w:spacing w:line="360" w:lineRule="auto"/>
        <w:jc w:val="both"/>
        <w:rPr>
          <w:rFonts w:ascii="Arial" w:hAnsi="Arial" w:cs="Arial"/>
          <w:sz w:val="24"/>
          <w:szCs w:val="24"/>
        </w:rPr>
      </w:pPr>
      <w:r w:rsidRPr="00D03296">
        <w:rPr>
          <w:rFonts w:ascii="Arial" w:hAnsi="Arial" w:cs="Arial"/>
          <w:b/>
          <w:color w:val="000000"/>
          <w:sz w:val="24"/>
          <w:szCs w:val="24"/>
        </w:rPr>
        <w:t>Art. 1</w:t>
      </w:r>
      <w:r w:rsidRPr="00D03296">
        <w:rPr>
          <w:rFonts w:ascii="Arial" w:hAnsi="Arial" w:cs="Arial"/>
          <w:color w:val="000000"/>
          <w:sz w:val="24"/>
          <w:szCs w:val="24"/>
        </w:rPr>
        <w:t xml:space="preserve"> Este Regulamento tem por objetivo orientar a apresentação, a tramitação, a aprovação e a execução, dos projetos de extensão </w:t>
      </w:r>
      <w:r>
        <w:rPr>
          <w:rFonts w:ascii="Arial" w:hAnsi="Arial" w:cs="Arial"/>
          <w:color w:val="000000"/>
          <w:sz w:val="24"/>
          <w:szCs w:val="24"/>
        </w:rPr>
        <w:t xml:space="preserve">no âmbito do </w:t>
      </w:r>
      <w:r w:rsidRPr="004F268C">
        <w:rPr>
          <w:rFonts w:ascii="Arial" w:hAnsi="Arial" w:cs="Arial"/>
          <w:sz w:val="24"/>
          <w:szCs w:val="24"/>
        </w:rPr>
        <w:t xml:space="preserve">Centro Universitário do Planalto Central </w:t>
      </w:r>
      <w:proofErr w:type="spellStart"/>
      <w:r w:rsidRPr="004F268C">
        <w:rPr>
          <w:rFonts w:ascii="Arial" w:hAnsi="Arial" w:cs="Arial"/>
          <w:sz w:val="24"/>
          <w:szCs w:val="24"/>
        </w:rPr>
        <w:t>Apparecido</w:t>
      </w:r>
      <w:proofErr w:type="spellEnd"/>
      <w:r w:rsidRPr="004F268C">
        <w:rPr>
          <w:rFonts w:ascii="Arial" w:hAnsi="Arial" w:cs="Arial"/>
          <w:sz w:val="24"/>
          <w:szCs w:val="24"/>
        </w:rPr>
        <w:t xml:space="preserve"> dos Santos (UNI</w:t>
      </w:r>
      <w:r>
        <w:rPr>
          <w:rFonts w:ascii="Arial" w:hAnsi="Arial" w:cs="Arial"/>
          <w:sz w:val="24"/>
          <w:szCs w:val="24"/>
        </w:rPr>
        <w:t xml:space="preserve">CEPLAC) nas modalidades presencial e a distância. </w:t>
      </w:r>
    </w:p>
    <w:p w:rsidR="009617B8" w:rsidRDefault="009617B8" w:rsidP="009617B8">
      <w:pPr>
        <w:shd w:val="clear" w:color="auto" w:fill="FFFFFF"/>
        <w:spacing w:line="360" w:lineRule="auto"/>
        <w:jc w:val="both"/>
        <w:rPr>
          <w:rFonts w:ascii="Arial" w:hAnsi="Arial" w:cs="Arial"/>
          <w:sz w:val="24"/>
          <w:szCs w:val="24"/>
        </w:rPr>
      </w:pPr>
      <w:r w:rsidRPr="00EE2497">
        <w:rPr>
          <w:rFonts w:ascii="Arial" w:hAnsi="Arial" w:cs="Arial"/>
          <w:b/>
          <w:sz w:val="24"/>
          <w:szCs w:val="24"/>
        </w:rPr>
        <w:t>Parágrafo único:</w:t>
      </w:r>
      <w:r>
        <w:rPr>
          <w:rFonts w:ascii="Arial" w:hAnsi="Arial" w:cs="Arial"/>
          <w:sz w:val="24"/>
          <w:szCs w:val="24"/>
        </w:rPr>
        <w:t xml:space="preserve"> As atividades de extensão estão sob reponsabilidade do Núcleo de Iniciação Científica e Extensão do UNICEPLAC e é subordinado ao CONSUPE.</w:t>
      </w:r>
    </w:p>
    <w:p w:rsidR="009617B8" w:rsidRPr="00E96118" w:rsidRDefault="009617B8" w:rsidP="009617B8">
      <w:pPr>
        <w:shd w:val="clear" w:color="auto" w:fill="FFFFFF"/>
        <w:spacing w:line="360" w:lineRule="auto"/>
        <w:jc w:val="both"/>
        <w:rPr>
          <w:rFonts w:ascii="Arial" w:hAnsi="Arial" w:cs="Arial"/>
          <w:sz w:val="24"/>
          <w:szCs w:val="24"/>
        </w:rPr>
      </w:pPr>
      <w:r w:rsidRPr="00E96118">
        <w:rPr>
          <w:rFonts w:ascii="Arial" w:hAnsi="Arial" w:cs="Arial"/>
          <w:b/>
          <w:bCs/>
          <w:sz w:val="24"/>
          <w:szCs w:val="24"/>
        </w:rPr>
        <w:t>Art. 2</w:t>
      </w:r>
      <w:r w:rsidRPr="00E96118">
        <w:rPr>
          <w:rFonts w:ascii="Arial" w:hAnsi="Arial" w:cs="Arial"/>
          <w:sz w:val="24"/>
          <w:szCs w:val="24"/>
        </w:rPr>
        <w:t xml:space="preserve"> A extensão universitária apresenta como princípios norteadores de suas ações: </w:t>
      </w:r>
    </w:p>
    <w:p w:rsidR="009617B8" w:rsidRPr="00E96118" w:rsidRDefault="009617B8" w:rsidP="009617B8">
      <w:pPr>
        <w:shd w:val="clear" w:color="auto" w:fill="FFFFFF"/>
        <w:spacing w:line="360" w:lineRule="auto"/>
        <w:jc w:val="both"/>
        <w:rPr>
          <w:rFonts w:ascii="Arial" w:hAnsi="Arial" w:cs="Arial"/>
          <w:sz w:val="24"/>
          <w:szCs w:val="24"/>
        </w:rPr>
      </w:pPr>
      <w:r w:rsidRPr="00E96118">
        <w:rPr>
          <w:rFonts w:ascii="Arial" w:hAnsi="Arial" w:cs="Arial"/>
          <w:sz w:val="24"/>
          <w:szCs w:val="24"/>
        </w:rPr>
        <w:t xml:space="preserve">I – </w:t>
      </w:r>
      <w:proofErr w:type="gramStart"/>
      <w:r w:rsidRPr="00E96118">
        <w:rPr>
          <w:rFonts w:ascii="Arial" w:hAnsi="Arial" w:cs="Arial"/>
          <w:sz w:val="24"/>
          <w:szCs w:val="24"/>
        </w:rPr>
        <w:t>a</w:t>
      </w:r>
      <w:proofErr w:type="gramEnd"/>
      <w:r w:rsidRPr="00E96118">
        <w:rPr>
          <w:rFonts w:ascii="Arial" w:hAnsi="Arial" w:cs="Arial"/>
          <w:sz w:val="24"/>
          <w:szCs w:val="24"/>
        </w:rPr>
        <w:t xml:space="preserve"> indissociabilidade com o ensino e a pesquisa; </w:t>
      </w:r>
    </w:p>
    <w:p w:rsidR="009617B8" w:rsidRPr="00E96118" w:rsidRDefault="009617B8" w:rsidP="009617B8">
      <w:pPr>
        <w:shd w:val="clear" w:color="auto" w:fill="FFFFFF"/>
        <w:spacing w:line="360" w:lineRule="auto"/>
        <w:jc w:val="both"/>
        <w:rPr>
          <w:rFonts w:ascii="Arial" w:hAnsi="Arial" w:cs="Arial"/>
          <w:sz w:val="24"/>
          <w:szCs w:val="24"/>
        </w:rPr>
      </w:pPr>
      <w:r w:rsidRPr="00E96118">
        <w:rPr>
          <w:rFonts w:ascii="Arial" w:hAnsi="Arial" w:cs="Arial"/>
          <w:sz w:val="24"/>
          <w:szCs w:val="24"/>
        </w:rPr>
        <w:t xml:space="preserve">II – </w:t>
      </w:r>
      <w:proofErr w:type="gramStart"/>
      <w:r w:rsidRPr="00E96118">
        <w:rPr>
          <w:rFonts w:ascii="Arial" w:hAnsi="Arial" w:cs="Arial"/>
          <w:sz w:val="24"/>
          <w:szCs w:val="24"/>
        </w:rPr>
        <w:t>a</w:t>
      </w:r>
      <w:proofErr w:type="gramEnd"/>
      <w:r w:rsidRPr="00E96118">
        <w:rPr>
          <w:rFonts w:ascii="Arial" w:hAnsi="Arial" w:cs="Arial"/>
          <w:sz w:val="24"/>
          <w:szCs w:val="24"/>
        </w:rPr>
        <w:t xml:space="preserve"> democratização dos saberes; </w:t>
      </w:r>
    </w:p>
    <w:p w:rsidR="009617B8" w:rsidRPr="00E96118" w:rsidRDefault="009617B8" w:rsidP="009617B8">
      <w:pPr>
        <w:shd w:val="clear" w:color="auto" w:fill="FFFFFF"/>
        <w:spacing w:line="360" w:lineRule="auto"/>
        <w:jc w:val="both"/>
        <w:rPr>
          <w:rFonts w:ascii="Arial" w:hAnsi="Arial" w:cs="Arial"/>
          <w:sz w:val="24"/>
          <w:szCs w:val="24"/>
        </w:rPr>
      </w:pPr>
      <w:r w:rsidRPr="00E96118">
        <w:rPr>
          <w:rFonts w:ascii="Arial" w:hAnsi="Arial" w:cs="Arial"/>
          <w:sz w:val="24"/>
          <w:szCs w:val="24"/>
        </w:rPr>
        <w:t>III – a relação de diálogo com a sociedade;</w:t>
      </w:r>
    </w:p>
    <w:p w:rsidR="009617B8" w:rsidRPr="00E96118" w:rsidRDefault="009617B8" w:rsidP="009617B8">
      <w:pPr>
        <w:shd w:val="clear" w:color="auto" w:fill="FFFFFF"/>
        <w:spacing w:line="360" w:lineRule="auto"/>
        <w:jc w:val="both"/>
        <w:rPr>
          <w:rFonts w:ascii="Arial" w:hAnsi="Arial" w:cs="Arial"/>
          <w:sz w:val="24"/>
          <w:szCs w:val="24"/>
        </w:rPr>
      </w:pPr>
      <w:r w:rsidRPr="00E96118">
        <w:rPr>
          <w:rFonts w:ascii="Arial" w:hAnsi="Arial" w:cs="Arial"/>
          <w:sz w:val="24"/>
          <w:szCs w:val="24"/>
        </w:rPr>
        <w:t xml:space="preserve"> IV – </w:t>
      </w:r>
      <w:proofErr w:type="gramStart"/>
      <w:r w:rsidRPr="00E96118">
        <w:rPr>
          <w:rFonts w:ascii="Arial" w:hAnsi="Arial" w:cs="Arial"/>
          <w:sz w:val="24"/>
          <w:szCs w:val="24"/>
        </w:rPr>
        <w:t>a</w:t>
      </w:r>
      <w:proofErr w:type="gramEnd"/>
      <w:r w:rsidRPr="00E96118">
        <w:rPr>
          <w:rFonts w:ascii="Arial" w:hAnsi="Arial" w:cs="Arial"/>
          <w:sz w:val="24"/>
          <w:szCs w:val="24"/>
        </w:rPr>
        <w:t xml:space="preserve"> universalização das ações de extensão; </w:t>
      </w:r>
    </w:p>
    <w:p w:rsidR="009617B8" w:rsidRPr="00E96118" w:rsidRDefault="009617B8" w:rsidP="009617B8">
      <w:pPr>
        <w:shd w:val="clear" w:color="auto" w:fill="FFFFFF"/>
        <w:spacing w:line="360" w:lineRule="auto"/>
        <w:jc w:val="both"/>
        <w:rPr>
          <w:rFonts w:ascii="Arial" w:hAnsi="Arial" w:cs="Arial"/>
          <w:sz w:val="24"/>
          <w:szCs w:val="24"/>
        </w:rPr>
      </w:pPr>
      <w:r w:rsidRPr="00E96118">
        <w:rPr>
          <w:rFonts w:ascii="Arial" w:hAnsi="Arial" w:cs="Arial"/>
          <w:sz w:val="24"/>
          <w:szCs w:val="24"/>
        </w:rPr>
        <w:t xml:space="preserve">V – </w:t>
      </w:r>
      <w:proofErr w:type="gramStart"/>
      <w:r w:rsidRPr="00E96118">
        <w:rPr>
          <w:rFonts w:ascii="Arial" w:hAnsi="Arial" w:cs="Arial"/>
          <w:sz w:val="24"/>
          <w:szCs w:val="24"/>
        </w:rPr>
        <w:t>a</w:t>
      </w:r>
      <w:proofErr w:type="gramEnd"/>
      <w:r w:rsidRPr="00E96118">
        <w:rPr>
          <w:rFonts w:ascii="Arial" w:hAnsi="Arial" w:cs="Arial"/>
          <w:sz w:val="24"/>
          <w:szCs w:val="24"/>
        </w:rPr>
        <w:t xml:space="preserve"> educação permanente dos sujeitos envolvidos nas ações de extensão; </w:t>
      </w:r>
    </w:p>
    <w:p w:rsidR="009617B8" w:rsidRPr="00E96118" w:rsidRDefault="009617B8" w:rsidP="009617B8">
      <w:pPr>
        <w:shd w:val="clear" w:color="auto" w:fill="FFFFFF"/>
        <w:spacing w:line="360" w:lineRule="auto"/>
        <w:jc w:val="both"/>
        <w:rPr>
          <w:rFonts w:ascii="Arial" w:hAnsi="Arial" w:cs="Arial"/>
          <w:sz w:val="24"/>
          <w:szCs w:val="24"/>
        </w:rPr>
      </w:pPr>
      <w:r w:rsidRPr="00E96118">
        <w:rPr>
          <w:rFonts w:ascii="Arial" w:hAnsi="Arial" w:cs="Arial"/>
          <w:sz w:val="24"/>
          <w:szCs w:val="24"/>
        </w:rPr>
        <w:t xml:space="preserve">VI – </w:t>
      </w:r>
      <w:proofErr w:type="gramStart"/>
      <w:r w:rsidRPr="00E96118">
        <w:rPr>
          <w:rFonts w:ascii="Arial" w:hAnsi="Arial" w:cs="Arial"/>
          <w:sz w:val="24"/>
          <w:szCs w:val="24"/>
        </w:rPr>
        <w:t>o</w:t>
      </w:r>
      <w:proofErr w:type="gramEnd"/>
      <w:r w:rsidRPr="00E96118">
        <w:rPr>
          <w:rFonts w:ascii="Arial" w:hAnsi="Arial" w:cs="Arial"/>
          <w:sz w:val="24"/>
          <w:szCs w:val="24"/>
        </w:rPr>
        <w:t xml:space="preserve"> compromisso com o desenvolvimento da ciência, da tecnologia, da inovação e do empreendedorismo; </w:t>
      </w:r>
    </w:p>
    <w:p w:rsidR="009617B8" w:rsidRPr="00E96118" w:rsidRDefault="009617B8" w:rsidP="009617B8">
      <w:pPr>
        <w:shd w:val="clear" w:color="auto" w:fill="FFFFFF"/>
        <w:spacing w:line="360" w:lineRule="auto"/>
        <w:jc w:val="both"/>
        <w:rPr>
          <w:rFonts w:ascii="Arial" w:hAnsi="Arial" w:cs="Arial"/>
          <w:sz w:val="24"/>
          <w:szCs w:val="24"/>
        </w:rPr>
      </w:pPr>
      <w:r w:rsidRPr="00E96118">
        <w:rPr>
          <w:rFonts w:ascii="Arial" w:hAnsi="Arial" w:cs="Arial"/>
          <w:sz w:val="24"/>
          <w:szCs w:val="24"/>
        </w:rPr>
        <w:t xml:space="preserve">VII – a melhoria da vida em sociedade colaborativa e solidária; </w:t>
      </w:r>
    </w:p>
    <w:p w:rsidR="009617B8" w:rsidRPr="00E96118" w:rsidRDefault="009617B8" w:rsidP="009617B8">
      <w:pPr>
        <w:shd w:val="clear" w:color="auto" w:fill="FFFFFF"/>
        <w:spacing w:line="360" w:lineRule="auto"/>
        <w:jc w:val="both"/>
        <w:rPr>
          <w:rFonts w:ascii="Arial" w:hAnsi="Arial" w:cs="Arial"/>
          <w:sz w:val="24"/>
          <w:szCs w:val="24"/>
        </w:rPr>
      </w:pPr>
      <w:r w:rsidRPr="00E96118">
        <w:rPr>
          <w:rFonts w:ascii="Arial" w:hAnsi="Arial" w:cs="Arial"/>
          <w:sz w:val="24"/>
          <w:szCs w:val="24"/>
        </w:rPr>
        <w:t xml:space="preserve">VIII – a sustentabilidade econômica, social e ambiental; </w:t>
      </w:r>
    </w:p>
    <w:p w:rsidR="009617B8" w:rsidRPr="00E96118" w:rsidRDefault="009617B8" w:rsidP="009617B8">
      <w:pPr>
        <w:shd w:val="clear" w:color="auto" w:fill="FFFFFF"/>
        <w:spacing w:line="360" w:lineRule="auto"/>
        <w:jc w:val="both"/>
        <w:rPr>
          <w:rFonts w:ascii="Arial" w:hAnsi="Arial" w:cs="Arial"/>
          <w:sz w:val="24"/>
          <w:szCs w:val="24"/>
        </w:rPr>
      </w:pPr>
      <w:r w:rsidRPr="00E96118">
        <w:rPr>
          <w:rFonts w:ascii="Arial" w:hAnsi="Arial" w:cs="Arial"/>
          <w:sz w:val="24"/>
          <w:szCs w:val="24"/>
        </w:rPr>
        <w:lastRenderedPageBreak/>
        <w:t xml:space="preserve">IX - </w:t>
      </w:r>
      <w:proofErr w:type="gramStart"/>
      <w:r w:rsidRPr="00E96118">
        <w:rPr>
          <w:rFonts w:ascii="Arial" w:hAnsi="Arial" w:cs="Arial"/>
          <w:sz w:val="24"/>
          <w:szCs w:val="24"/>
        </w:rPr>
        <w:t>a</w:t>
      </w:r>
      <w:proofErr w:type="gramEnd"/>
      <w:r w:rsidRPr="00E96118">
        <w:rPr>
          <w:rFonts w:ascii="Arial" w:hAnsi="Arial" w:cs="Arial"/>
          <w:sz w:val="24"/>
          <w:szCs w:val="24"/>
        </w:rPr>
        <w:t xml:space="preserve"> democracia, a horizontalidade e a transparência da gestão da extensão.</w:t>
      </w:r>
    </w:p>
    <w:p w:rsidR="009617B8" w:rsidRPr="00E96118" w:rsidRDefault="009617B8" w:rsidP="009617B8">
      <w:pPr>
        <w:shd w:val="clear" w:color="auto" w:fill="FFFFFF"/>
        <w:spacing w:line="360" w:lineRule="auto"/>
        <w:ind w:firstLine="708"/>
        <w:jc w:val="both"/>
        <w:rPr>
          <w:rFonts w:ascii="Arial" w:hAnsi="Arial" w:cs="Arial"/>
          <w:sz w:val="24"/>
          <w:szCs w:val="24"/>
        </w:rPr>
      </w:pPr>
      <w:r w:rsidRPr="00E96118">
        <w:rPr>
          <w:rFonts w:ascii="Arial" w:hAnsi="Arial" w:cs="Arial"/>
          <w:b/>
          <w:bCs/>
          <w:sz w:val="24"/>
          <w:szCs w:val="24"/>
        </w:rPr>
        <w:t>Parágrafo único</w:t>
      </w:r>
      <w:r w:rsidRPr="00E96118">
        <w:rPr>
          <w:rFonts w:ascii="Arial" w:hAnsi="Arial" w:cs="Arial"/>
          <w:sz w:val="24"/>
          <w:szCs w:val="24"/>
        </w:rPr>
        <w:t>: Através da extensão universitária o compromisso social do UNICEPLAC se concretiza, pois, tal compromisso está em sua MISSÃO, com a clara vocação de tornar-se parceira dos diferentes setores da sociedade no atendimento à comunidade.</w:t>
      </w:r>
    </w:p>
    <w:p w:rsidR="009617B8" w:rsidRDefault="009617B8" w:rsidP="009617B8">
      <w:pPr>
        <w:shd w:val="clear" w:color="auto" w:fill="FFFFFF"/>
        <w:spacing w:line="360" w:lineRule="auto"/>
        <w:jc w:val="both"/>
        <w:rPr>
          <w:rFonts w:ascii="Arial" w:hAnsi="Arial" w:cs="Arial"/>
          <w:color w:val="000000"/>
          <w:sz w:val="24"/>
          <w:szCs w:val="24"/>
        </w:rPr>
      </w:pPr>
      <w:r w:rsidRPr="00D03296">
        <w:rPr>
          <w:rFonts w:ascii="Arial" w:hAnsi="Arial" w:cs="Arial"/>
          <w:b/>
          <w:color w:val="000000"/>
          <w:sz w:val="24"/>
          <w:szCs w:val="24"/>
        </w:rPr>
        <w:t xml:space="preserve">Art. </w:t>
      </w:r>
      <w:r>
        <w:rPr>
          <w:rFonts w:ascii="Arial" w:hAnsi="Arial" w:cs="Arial"/>
          <w:b/>
          <w:color w:val="000000"/>
          <w:sz w:val="24"/>
          <w:szCs w:val="24"/>
        </w:rPr>
        <w:t xml:space="preserve">3 </w:t>
      </w:r>
      <w:r w:rsidRPr="00D03296">
        <w:rPr>
          <w:rFonts w:ascii="Arial" w:hAnsi="Arial" w:cs="Arial"/>
          <w:color w:val="000000"/>
          <w:sz w:val="24"/>
          <w:szCs w:val="24"/>
        </w:rPr>
        <w:t>As Atividades de Extensão d</w:t>
      </w:r>
      <w:r>
        <w:rPr>
          <w:rFonts w:ascii="Arial" w:hAnsi="Arial" w:cs="Arial"/>
          <w:color w:val="000000"/>
          <w:sz w:val="24"/>
          <w:szCs w:val="24"/>
        </w:rPr>
        <w:t xml:space="preserve">o Centro Universitário </w:t>
      </w:r>
      <w:r w:rsidRPr="004F268C">
        <w:rPr>
          <w:rFonts w:ascii="Arial" w:hAnsi="Arial" w:cs="Arial"/>
          <w:sz w:val="24"/>
          <w:szCs w:val="24"/>
        </w:rPr>
        <w:t>UNI</w:t>
      </w:r>
      <w:r>
        <w:rPr>
          <w:rFonts w:ascii="Arial" w:hAnsi="Arial" w:cs="Arial"/>
          <w:sz w:val="24"/>
          <w:szCs w:val="24"/>
        </w:rPr>
        <w:t>CEPLAC</w:t>
      </w:r>
      <w:r w:rsidRPr="00D03296">
        <w:rPr>
          <w:rFonts w:ascii="Arial" w:hAnsi="Arial" w:cs="Arial"/>
          <w:color w:val="000000"/>
          <w:sz w:val="24"/>
          <w:szCs w:val="24"/>
        </w:rPr>
        <w:t xml:space="preserve"> </w:t>
      </w:r>
      <w:r>
        <w:rPr>
          <w:rFonts w:ascii="Arial" w:hAnsi="Arial" w:cs="Arial"/>
          <w:color w:val="000000"/>
          <w:sz w:val="24"/>
          <w:szCs w:val="24"/>
        </w:rPr>
        <w:t>são divididas em extensões curriculares, na forma de projeto integrador, e, projetos de extensão aprovados por meio de demanda especializada conforme haja necessidade, e devem ser executadas de acordo com regulamento específico.</w:t>
      </w:r>
    </w:p>
    <w:p w:rsidR="009617B8" w:rsidRPr="00D03296" w:rsidRDefault="009617B8" w:rsidP="009617B8">
      <w:pPr>
        <w:shd w:val="clear" w:color="auto" w:fill="FFFFFF"/>
        <w:spacing w:line="360" w:lineRule="auto"/>
        <w:jc w:val="both"/>
        <w:rPr>
          <w:rFonts w:ascii="Arial" w:hAnsi="Arial" w:cs="Arial"/>
          <w:color w:val="000000"/>
          <w:sz w:val="24"/>
          <w:szCs w:val="24"/>
        </w:rPr>
      </w:pPr>
    </w:p>
    <w:p w:rsidR="009617B8" w:rsidRDefault="009617B8" w:rsidP="009617B8">
      <w:pPr>
        <w:pStyle w:val="Ttulo1"/>
        <w:spacing w:line="360" w:lineRule="auto"/>
        <w:jc w:val="center"/>
        <w:rPr>
          <w:rFonts w:ascii="Arial" w:hAnsi="Arial" w:cs="Arial"/>
          <w:b/>
          <w:bCs/>
          <w:color w:val="000000"/>
          <w:sz w:val="24"/>
          <w:szCs w:val="24"/>
        </w:rPr>
      </w:pPr>
      <w:bookmarkStart w:id="2" w:name="_Toc413149178"/>
      <w:bookmarkStart w:id="3" w:name="_Toc482104854"/>
      <w:r w:rsidRPr="00D03296">
        <w:rPr>
          <w:rFonts w:ascii="Arial" w:hAnsi="Arial" w:cs="Arial"/>
          <w:b/>
          <w:bCs/>
          <w:color w:val="000000"/>
          <w:sz w:val="24"/>
          <w:szCs w:val="24"/>
        </w:rPr>
        <w:t xml:space="preserve">CAPÍTULO II </w:t>
      </w:r>
      <w:r>
        <w:rPr>
          <w:rFonts w:ascii="Arial" w:hAnsi="Arial" w:cs="Arial"/>
          <w:b/>
          <w:bCs/>
          <w:color w:val="000000"/>
          <w:sz w:val="24"/>
          <w:szCs w:val="24"/>
        </w:rPr>
        <w:t xml:space="preserve">– </w:t>
      </w:r>
      <w:bookmarkEnd w:id="2"/>
      <w:bookmarkEnd w:id="3"/>
      <w:r>
        <w:rPr>
          <w:rFonts w:ascii="Arial" w:hAnsi="Arial" w:cs="Arial"/>
          <w:b/>
          <w:bCs/>
          <w:color w:val="000000"/>
          <w:sz w:val="24"/>
          <w:szCs w:val="24"/>
        </w:rPr>
        <w:t>DOS OBJETIVOS</w:t>
      </w:r>
    </w:p>
    <w:p w:rsidR="009617B8" w:rsidRPr="004F268C" w:rsidRDefault="009617B8" w:rsidP="009617B8">
      <w:pPr>
        <w:spacing w:line="360" w:lineRule="auto"/>
        <w:jc w:val="both"/>
        <w:rPr>
          <w:rFonts w:ascii="Arial" w:hAnsi="Arial" w:cs="Arial"/>
          <w:sz w:val="24"/>
          <w:szCs w:val="24"/>
        </w:rPr>
      </w:pPr>
    </w:p>
    <w:p w:rsidR="009617B8" w:rsidRDefault="009617B8" w:rsidP="009617B8">
      <w:pPr>
        <w:shd w:val="clear" w:color="auto" w:fill="FFFFFF"/>
        <w:spacing w:line="360" w:lineRule="auto"/>
        <w:jc w:val="both"/>
        <w:rPr>
          <w:rFonts w:ascii="Arial" w:hAnsi="Arial" w:cs="Arial"/>
          <w:color w:val="000000"/>
          <w:sz w:val="24"/>
          <w:szCs w:val="24"/>
        </w:rPr>
      </w:pPr>
      <w:r w:rsidRPr="00D03296">
        <w:rPr>
          <w:rFonts w:ascii="Arial" w:hAnsi="Arial" w:cs="Arial"/>
          <w:b/>
          <w:color w:val="000000"/>
          <w:sz w:val="24"/>
          <w:szCs w:val="24"/>
        </w:rPr>
        <w:t xml:space="preserve">Art. </w:t>
      </w:r>
      <w:r>
        <w:rPr>
          <w:rFonts w:ascii="Arial" w:hAnsi="Arial" w:cs="Arial"/>
          <w:b/>
          <w:color w:val="000000"/>
          <w:sz w:val="24"/>
          <w:szCs w:val="24"/>
        </w:rPr>
        <w:t xml:space="preserve">4 </w:t>
      </w:r>
      <w:r w:rsidRPr="00D03296">
        <w:rPr>
          <w:rFonts w:ascii="Arial" w:hAnsi="Arial" w:cs="Arial"/>
          <w:color w:val="000000"/>
          <w:sz w:val="24"/>
          <w:szCs w:val="24"/>
        </w:rPr>
        <w:t>A extensão é um processo educativo, cultural e científico que articula o ensino e a iniciação científica, desenvolvendo e promovendo ações direcionadas ao atendimento das demandas da comunidade interna e externa, viabilizando a relação transformadora entre a instituição e a sociedade.</w:t>
      </w:r>
    </w:p>
    <w:p w:rsidR="009617B8" w:rsidRPr="00D03296" w:rsidRDefault="009617B8" w:rsidP="009617B8">
      <w:pPr>
        <w:shd w:val="clear" w:color="auto" w:fill="FFFFFF"/>
        <w:spacing w:line="360" w:lineRule="auto"/>
        <w:jc w:val="both"/>
        <w:rPr>
          <w:rFonts w:ascii="Arial" w:hAnsi="Arial" w:cs="Arial"/>
          <w:color w:val="000000"/>
          <w:sz w:val="24"/>
          <w:szCs w:val="24"/>
        </w:rPr>
      </w:pPr>
      <w:r w:rsidRPr="00D03296">
        <w:rPr>
          <w:rFonts w:ascii="Arial" w:hAnsi="Arial" w:cs="Arial"/>
          <w:b/>
          <w:color w:val="000000"/>
          <w:sz w:val="24"/>
          <w:szCs w:val="24"/>
        </w:rPr>
        <w:t xml:space="preserve">Art. </w:t>
      </w:r>
      <w:r>
        <w:rPr>
          <w:rFonts w:ascii="Arial" w:hAnsi="Arial" w:cs="Arial"/>
          <w:b/>
          <w:color w:val="000000"/>
          <w:sz w:val="24"/>
          <w:szCs w:val="24"/>
        </w:rPr>
        <w:t>5</w:t>
      </w:r>
      <w:r w:rsidRPr="00D03296">
        <w:rPr>
          <w:rFonts w:ascii="Arial" w:hAnsi="Arial" w:cs="Arial"/>
          <w:color w:val="000000"/>
          <w:sz w:val="24"/>
          <w:szCs w:val="24"/>
        </w:rPr>
        <w:t xml:space="preserve"> As ações de extensão a serem desenvolvidas terão como objetivos:</w:t>
      </w:r>
    </w:p>
    <w:p w:rsidR="009617B8" w:rsidRDefault="009617B8" w:rsidP="009617B8">
      <w:pPr>
        <w:pStyle w:val="PargrafodaLista"/>
        <w:numPr>
          <w:ilvl w:val="0"/>
          <w:numId w:val="5"/>
        </w:numPr>
        <w:shd w:val="clear" w:color="auto" w:fill="FFFFFF"/>
        <w:tabs>
          <w:tab w:val="left" w:pos="1134"/>
        </w:tabs>
        <w:spacing w:line="360" w:lineRule="auto"/>
        <w:ind w:left="284" w:firstLine="0"/>
        <w:contextualSpacing/>
        <w:jc w:val="both"/>
        <w:rPr>
          <w:rFonts w:ascii="Arial" w:hAnsi="Arial" w:cs="Arial"/>
          <w:color w:val="000000"/>
        </w:rPr>
      </w:pPr>
      <w:bookmarkStart w:id="4" w:name="_Hlk73043745"/>
      <w:r w:rsidRPr="00D03296">
        <w:rPr>
          <w:rFonts w:ascii="Arial" w:hAnsi="Arial" w:cs="Arial"/>
          <w:color w:val="000000"/>
        </w:rPr>
        <w:t>estabelecer a integração entre o ensino, a pesquisa e a realidade educacional;</w:t>
      </w:r>
    </w:p>
    <w:p w:rsidR="009617B8" w:rsidRPr="00D03296" w:rsidRDefault="009617B8" w:rsidP="009617B8">
      <w:pPr>
        <w:pStyle w:val="PargrafodaLista"/>
        <w:numPr>
          <w:ilvl w:val="0"/>
          <w:numId w:val="5"/>
        </w:numPr>
        <w:shd w:val="clear" w:color="auto" w:fill="FFFFFF"/>
        <w:tabs>
          <w:tab w:val="left" w:pos="1134"/>
        </w:tabs>
        <w:spacing w:line="360" w:lineRule="auto"/>
        <w:ind w:left="284" w:firstLine="0"/>
        <w:contextualSpacing/>
        <w:jc w:val="both"/>
        <w:rPr>
          <w:rFonts w:ascii="Arial" w:hAnsi="Arial" w:cs="Arial"/>
          <w:color w:val="000000"/>
        </w:rPr>
      </w:pPr>
      <w:r w:rsidRPr="00D03296">
        <w:rPr>
          <w:rFonts w:ascii="Arial" w:hAnsi="Arial" w:cs="Arial"/>
          <w:color w:val="000000"/>
        </w:rPr>
        <w:t>capacitar os discentes para atender as exigências do mercado de trabalho, assim como as necessidades sociais;</w:t>
      </w:r>
    </w:p>
    <w:p w:rsidR="009617B8" w:rsidRPr="00D03296" w:rsidRDefault="009617B8" w:rsidP="009617B8">
      <w:pPr>
        <w:pStyle w:val="PargrafodaLista"/>
        <w:numPr>
          <w:ilvl w:val="0"/>
          <w:numId w:val="5"/>
        </w:numPr>
        <w:shd w:val="clear" w:color="auto" w:fill="FFFFFF"/>
        <w:tabs>
          <w:tab w:val="left" w:pos="1134"/>
        </w:tabs>
        <w:spacing w:line="360" w:lineRule="auto"/>
        <w:ind w:left="284" w:firstLine="0"/>
        <w:contextualSpacing/>
        <w:jc w:val="both"/>
        <w:rPr>
          <w:rFonts w:ascii="Arial" w:hAnsi="Arial" w:cs="Arial"/>
          <w:color w:val="000000"/>
        </w:rPr>
      </w:pPr>
      <w:r w:rsidRPr="00D03296">
        <w:rPr>
          <w:rFonts w:ascii="Arial" w:hAnsi="Arial" w:cs="Arial"/>
          <w:color w:val="000000"/>
        </w:rPr>
        <w:t>contribuir para a melhoria dos padrões socioeconômicos, políticos e culturais da comunidade;</w:t>
      </w:r>
    </w:p>
    <w:p w:rsidR="009617B8" w:rsidRPr="00D03296" w:rsidRDefault="009617B8" w:rsidP="009617B8">
      <w:pPr>
        <w:pStyle w:val="PargrafodaLista"/>
        <w:numPr>
          <w:ilvl w:val="0"/>
          <w:numId w:val="5"/>
        </w:numPr>
        <w:shd w:val="clear" w:color="auto" w:fill="FFFFFF"/>
        <w:tabs>
          <w:tab w:val="left" w:pos="1134"/>
        </w:tabs>
        <w:spacing w:line="360" w:lineRule="auto"/>
        <w:ind w:left="284" w:firstLine="0"/>
        <w:contextualSpacing/>
        <w:jc w:val="both"/>
        <w:rPr>
          <w:rFonts w:ascii="Arial" w:hAnsi="Arial" w:cs="Arial"/>
          <w:color w:val="000000"/>
        </w:rPr>
      </w:pPr>
      <w:r w:rsidRPr="00D03296">
        <w:rPr>
          <w:rFonts w:ascii="Arial" w:hAnsi="Arial" w:cs="Arial"/>
          <w:color w:val="000000"/>
        </w:rPr>
        <w:t>estimular e apoiar o corpo docente e discente na publicação e divulgação de suas produções acadêmicas;</w:t>
      </w:r>
    </w:p>
    <w:p w:rsidR="009617B8" w:rsidRPr="004F268C" w:rsidRDefault="009617B8" w:rsidP="009617B8">
      <w:pPr>
        <w:pStyle w:val="PargrafodaLista"/>
        <w:numPr>
          <w:ilvl w:val="0"/>
          <w:numId w:val="5"/>
        </w:numPr>
        <w:shd w:val="clear" w:color="auto" w:fill="FFFFFF"/>
        <w:tabs>
          <w:tab w:val="left" w:pos="1134"/>
        </w:tabs>
        <w:spacing w:line="360" w:lineRule="auto"/>
        <w:ind w:left="284" w:firstLine="0"/>
        <w:contextualSpacing/>
        <w:jc w:val="both"/>
        <w:rPr>
          <w:rFonts w:ascii="Arial" w:hAnsi="Arial" w:cs="Arial"/>
        </w:rPr>
      </w:pPr>
      <w:r w:rsidRPr="00D03296">
        <w:rPr>
          <w:rFonts w:ascii="Arial" w:hAnsi="Arial" w:cs="Arial"/>
          <w:color w:val="000000"/>
        </w:rPr>
        <w:t>realizar cursos e eventos a partir das necessidades e demanda dos discentes, docentes e da comunidade</w:t>
      </w:r>
      <w:r>
        <w:rPr>
          <w:rFonts w:ascii="Arial" w:hAnsi="Arial" w:cs="Arial"/>
          <w:color w:val="000000"/>
        </w:rPr>
        <w:t xml:space="preserve">, </w:t>
      </w:r>
      <w:r w:rsidRPr="004F268C">
        <w:rPr>
          <w:rFonts w:ascii="Arial" w:hAnsi="Arial" w:cs="Arial"/>
        </w:rPr>
        <w:t>utilizando-se da modalidade presencial e a distância.</w:t>
      </w:r>
    </w:p>
    <w:bookmarkEnd w:id="4"/>
    <w:p w:rsidR="009617B8" w:rsidRDefault="009617B8" w:rsidP="009617B8">
      <w:pPr>
        <w:pStyle w:val="PargrafodaLista"/>
        <w:shd w:val="clear" w:color="auto" w:fill="FFFFFF"/>
        <w:tabs>
          <w:tab w:val="left" w:pos="1134"/>
        </w:tabs>
        <w:spacing w:line="360" w:lineRule="auto"/>
        <w:ind w:left="0"/>
        <w:jc w:val="both"/>
        <w:rPr>
          <w:rFonts w:ascii="Arial" w:hAnsi="Arial" w:cs="Arial"/>
          <w:color w:val="000000"/>
        </w:rPr>
      </w:pPr>
    </w:p>
    <w:p w:rsidR="009617B8" w:rsidRPr="00CC4A67" w:rsidRDefault="009617B8" w:rsidP="009617B8">
      <w:pPr>
        <w:spacing w:line="360" w:lineRule="auto"/>
        <w:jc w:val="both"/>
      </w:pPr>
      <w:bookmarkStart w:id="5" w:name="_Toc413149179"/>
    </w:p>
    <w:p w:rsidR="009617B8" w:rsidRPr="00D03296" w:rsidRDefault="009617B8" w:rsidP="009617B8">
      <w:pPr>
        <w:pStyle w:val="Ttulo1"/>
        <w:spacing w:line="360" w:lineRule="auto"/>
        <w:jc w:val="center"/>
        <w:rPr>
          <w:rFonts w:ascii="Arial" w:hAnsi="Arial" w:cs="Arial"/>
          <w:color w:val="000000"/>
          <w:sz w:val="24"/>
          <w:szCs w:val="24"/>
        </w:rPr>
      </w:pPr>
      <w:bookmarkStart w:id="6" w:name="_Toc482104855"/>
      <w:r w:rsidRPr="00D03296">
        <w:rPr>
          <w:rFonts w:ascii="Arial" w:hAnsi="Arial" w:cs="Arial"/>
          <w:b/>
          <w:bCs/>
          <w:color w:val="000000"/>
          <w:sz w:val="24"/>
          <w:szCs w:val="24"/>
        </w:rPr>
        <w:t xml:space="preserve">CAPÍTULO III </w:t>
      </w:r>
      <w:r>
        <w:rPr>
          <w:rFonts w:ascii="Arial" w:hAnsi="Arial" w:cs="Arial"/>
          <w:b/>
          <w:bCs/>
          <w:color w:val="000000"/>
          <w:sz w:val="24"/>
          <w:szCs w:val="24"/>
        </w:rPr>
        <w:t xml:space="preserve">- </w:t>
      </w:r>
      <w:r w:rsidRPr="00D03296">
        <w:rPr>
          <w:rFonts w:ascii="Arial" w:hAnsi="Arial" w:cs="Arial"/>
          <w:b/>
          <w:bCs/>
          <w:color w:val="000000"/>
          <w:sz w:val="24"/>
          <w:szCs w:val="24"/>
        </w:rPr>
        <w:t>MODALIDADES</w:t>
      </w:r>
      <w:bookmarkEnd w:id="5"/>
      <w:bookmarkEnd w:id="6"/>
    </w:p>
    <w:p w:rsidR="009617B8" w:rsidRPr="00CC4A67" w:rsidRDefault="009617B8" w:rsidP="009617B8">
      <w:pPr>
        <w:shd w:val="clear" w:color="auto" w:fill="FFFFFF"/>
        <w:spacing w:line="360" w:lineRule="auto"/>
        <w:jc w:val="both"/>
        <w:rPr>
          <w:rFonts w:ascii="Arial" w:hAnsi="Arial" w:cs="Arial"/>
          <w:color w:val="000000"/>
          <w:sz w:val="24"/>
          <w:szCs w:val="24"/>
        </w:rPr>
      </w:pPr>
    </w:p>
    <w:p w:rsidR="009617B8" w:rsidRPr="00D03296" w:rsidRDefault="009617B8" w:rsidP="009617B8">
      <w:pPr>
        <w:shd w:val="clear" w:color="auto" w:fill="FFFFFF"/>
        <w:spacing w:line="360" w:lineRule="auto"/>
        <w:jc w:val="both"/>
        <w:rPr>
          <w:rFonts w:ascii="Arial" w:hAnsi="Arial" w:cs="Arial"/>
          <w:color w:val="000000"/>
          <w:sz w:val="24"/>
          <w:szCs w:val="24"/>
        </w:rPr>
      </w:pPr>
      <w:r w:rsidRPr="00D03296">
        <w:rPr>
          <w:rFonts w:ascii="Arial" w:hAnsi="Arial" w:cs="Arial"/>
          <w:b/>
          <w:color w:val="000000"/>
          <w:sz w:val="24"/>
          <w:szCs w:val="24"/>
        </w:rPr>
        <w:t xml:space="preserve">Art. </w:t>
      </w:r>
      <w:r>
        <w:rPr>
          <w:rFonts w:ascii="Arial" w:hAnsi="Arial" w:cs="Arial"/>
          <w:b/>
          <w:color w:val="000000"/>
          <w:sz w:val="24"/>
          <w:szCs w:val="24"/>
        </w:rPr>
        <w:t>6</w:t>
      </w:r>
      <w:r w:rsidRPr="00D03296">
        <w:rPr>
          <w:rFonts w:ascii="Arial" w:hAnsi="Arial" w:cs="Arial"/>
          <w:color w:val="000000"/>
          <w:sz w:val="24"/>
          <w:szCs w:val="24"/>
        </w:rPr>
        <w:t xml:space="preserve"> </w:t>
      </w:r>
      <w:bookmarkStart w:id="7" w:name="_Hlk73043814"/>
      <w:r w:rsidRPr="00D03296">
        <w:rPr>
          <w:rFonts w:ascii="Arial" w:hAnsi="Arial" w:cs="Arial"/>
          <w:color w:val="000000"/>
          <w:sz w:val="24"/>
          <w:szCs w:val="24"/>
        </w:rPr>
        <w:t>As ações de extensão, concernentes à filosofia d</w:t>
      </w:r>
      <w:r>
        <w:rPr>
          <w:rFonts w:ascii="Arial" w:hAnsi="Arial" w:cs="Arial"/>
          <w:color w:val="000000"/>
          <w:sz w:val="24"/>
          <w:szCs w:val="24"/>
        </w:rPr>
        <w:t>o Centro Universitário UNICEPLAC</w:t>
      </w:r>
      <w:r w:rsidRPr="00D03296">
        <w:rPr>
          <w:rFonts w:ascii="Arial" w:hAnsi="Arial" w:cs="Arial"/>
          <w:color w:val="000000"/>
          <w:sz w:val="24"/>
          <w:szCs w:val="24"/>
        </w:rPr>
        <w:t>, expressas em seu Projeto de Desenvolvimento Institucional - PDI serão desenvolvidas sob as seguintes formas:</w:t>
      </w:r>
    </w:p>
    <w:p w:rsidR="009617B8" w:rsidRPr="00D03296" w:rsidRDefault="009617B8" w:rsidP="009617B8">
      <w:pPr>
        <w:shd w:val="clear" w:color="auto" w:fill="FFFFFF"/>
        <w:spacing w:line="360" w:lineRule="auto"/>
        <w:jc w:val="both"/>
        <w:rPr>
          <w:rFonts w:ascii="Arial" w:hAnsi="Arial" w:cs="Arial"/>
          <w:color w:val="000000"/>
          <w:sz w:val="24"/>
          <w:szCs w:val="24"/>
        </w:rPr>
      </w:pPr>
      <w:r w:rsidRPr="00D03296">
        <w:rPr>
          <w:rFonts w:ascii="Arial" w:hAnsi="Arial" w:cs="Arial"/>
          <w:color w:val="000000"/>
          <w:sz w:val="24"/>
          <w:szCs w:val="24"/>
        </w:rPr>
        <w:t xml:space="preserve">I – </w:t>
      </w:r>
      <w:proofErr w:type="gramStart"/>
      <w:r>
        <w:rPr>
          <w:rFonts w:ascii="Arial" w:hAnsi="Arial" w:cs="Arial"/>
          <w:color w:val="000000"/>
          <w:sz w:val="24"/>
          <w:szCs w:val="24"/>
        </w:rPr>
        <w:t>p</w:t>
      </w:r>
      <w:r w:rsidRPr="00D03296">
        <w:rPr>
          <w:rFonts w:ascii="Arial" w:hAnsi="Arial" w:cs="Arial"/>
          <w:color w:val="000000"/>
          <w:sz w:val="24"/>
          <w:szCs w:val="24"/>
        </w:rPr>
        <w:t>rogramas</w:t>
      </w:r>
      <w:proofErr w:type="gramEnd"/>
      <w:r w:rsidRPr="00D03296">
        <w:rPr>
          <w:rFonts w:ascii="Arial" w:hAnsi="Arial" w:cs="Arial"/>
          <w:color w:val="000000"/>
          <w:sz w:val="24"/>
          <w:szCs w:val="24"/>
        </w:rPr>
        <w:t xml:space="preserve"> - Conjunto articulado de projetos e outras atividades de extensão (cursos, eventos, prestação de serviços), de caráter orgânico-institucional, com clareza de diretrizes e orientadas a um objetivo comum em uma grande ação de médio a longo prazo;</w:t>
      </w:r>
    </w:p>
    <w:p w:rsidR="009617B8" w:rsidRDefault="009617B8" w:rsidP="009617B8">
      <w:pPr>
        <w:shd w:val="clear" w:color="auto" w:fill="FFFFFF"/>
        <w:spacing w:line="360" w:lineRule="auto"/>
        <w:jc w:val="both"/>
        <w:rPr>
          <w:rFonts w:ascii="Arial" w:hAnsi="Arial" w:cs="Arial"/>
          <w:color w:val="000000"/>
          <w:sz w:val="24"/>
          <w:szCs w:val="24"/>
        </w:rPr>
      </w:pPr>
      <w:r w:rsidRPr="00D03296">
        <w:rPr>
          <w:rFonts w:ascii="Arial" w:hAnsi="Arial" w:cs="Arial"/>
          <w:color w:val="000000"/>
          <w:sz w:val="24"/>
          <w:szCs w:val="24"/>
        </w:rPr>
        <w:t xml:space="preserve">II – </w:t>
      </w:r>
      <w:proofErr w:type="gramStart"/>
      <w:r>
        <w:rPr>
          <w:rFonts w:ascii="Arial" w:hAnsi="Arial" w:cs="Arial"/>
          <w:color w:val="000000"/>
          <w:sz w:val="24"/>
          <w:szCs w:val="24"/>
        </w:rPr>
        <w:t>p</w:t>
      </w:r>
      <w:r w:rsidRPr="00D03296">
        <w:rPr>
          <w:rFonts w:ascii="Arial" w:hAnsi="Arial" w:cs="Arial"/>
          <w:color w:val="000000"/>
          <w:sz w:val="24"/>
          <w:szCs w:val="24"/>
        </w:rPr>
        <w:t>rojetos</w:t>
      </w:r>
      <w:proofErr w:type="gramEnd"/>
      <w:r w:rsidRPr="00D03296">
        <w:rPr>
          <w:rFonts w:ascii="Arial" w:hAnsi="Arial" w:cs="Arial"/>
          <w:color w:val="000000"/>
          <w:sz w:val="24"/>
          <w:szCs w:val="24"/>
        </w:rPr>
        <w:t xml:space="preserve"> - conjunto de ações contínuas de caráter comunitário, educativo, cultural, científico e tecnológico, vinculado ou não a um programa;</w:t>
      </w:r>
    </w:p>
    <w:p w:rsidR="009617B8" w:rsidRDefault="009617B8" w:rsidP="009617B8">
      <w:pPr>
        <w:shd w:val="clear" w:color="auto" w:fill="FFFFFF"/>
        <w:spacing w:line="360" w:lineRule="auto"/>
        <w:jc w:val="both"/>
        <w:rPr>
          <w:rFonts w:ascii="Arial" w:hAnsi="Arial" w:cs="Arial"/>
          <w:color w:val="000000"/>
          <w:sz w:val="24"/>
          <w:szCs w:val="24"/>
        </w:rPr>
      </w:pPr>
      <w:r>
        <w:rPr>
          <w:rFonts w:ascii="Arial" w:hAnsi="Arial" w:cs="Arial"/>
          <w:color w:val="000000"/>
          <w:sz w:val="24"/>
          <w:szCs w:val="24"/>
        </w:rPr>
        <w:t>III – c</w:t>
      </w:r>
      <w:r w:rsidRPr="00D03296">
        <w:rPr>
          <w:rFonts w:ascii="Arial" w:hAnsi="Arial" w:cs="Arial"/>
          <w:color w:val="000000"/>
          <w:sz w:val="24"/>
          <w:szCs w:val="24"/>
        </w:rPr>
        <w:t>ursos ou toda atividade acadêmica, técnica ou cultural que não está inclusa como parte integrante e obrigatório do ensino de grad</w:t>
      </w:r>
      <w:r>
        <w:rPr>
          <w:rFonts w:ascii="Arial" w:hAnsi="Arial" w:cs="Arial"/>
          <w:color w:val="000000"/>
          <w:sz w:val="24"/>
          <w:szCs w:val="24"/>
        </w:rPr>
        <w:t>uação e da pós-graduação;</w:t>
      </w:r>
    </w:p>
    <w:p w:rsidR="009617B8" w:rsidRPr="00D03296" w:rsidRDefault="009617B8" w:rsidP="009617B8">
      <w:pPr>
        <w:shd w:val="clear" w:color="auto" w:fill="FFFFFF"/>
        <w:spacing w:line="360" w:lineRule="auto"/>
        <w:jc w:val="both"/>
        <w:rPr>
          <w:rFonts w:ascii="Arial" w:hAnsi="Arial" w:cs="Arial"/>
          <w:color w:val="000000"/>
          <w:sz w:val="24"/>
          <w:szCs w:val="24"/>
        </w:rPr>
      </w:pPr>
      <w:r>
        <w:rPr>
          <w:rFonts w:ascii="Arial" w:hAnsi="Arial" w:cs="Arial"/>
          <w:color w:val="000000"/>
          <w:sz w:val="24"/>
          <w:szCs w:val="24"/>
        </w:rPr>
        <w:t xml:space="preserve">IV – </w:t>
      </w:r>
      <w:proofErr w:type="gramStart"/>
      <w:r>
        <w:rPr>
          <w:rFonts w:ascii="Arial" w:hAnsi="Arial" w:cs="Arial"/>
          <w:color w:val="000000"/>
          <w:sz w:val="24"/>
          <w:szCs w:val="24"/>
        </w:rPr>
        <w:t>e</w:t>
      </w:r>
      <w:r w:rsidRPr="00D03296">
        <w:rPr>
          <w:rFonts w:ascii="Arial" w:hAnsi="Arial" w:cs="Arial"/>
          <w:color w:val="000000"/>
          <w:sz w:val="24"/>
          <w:szCs w:val="24"/>
        </w:rPr>
        <w:t>ventos</w:t>
      </w:r>
      <w:proofErr w:type="gramEnd"/>
      <w:r w:rsidRPr="00D03296">
        <w:rPr>
          <w:rFonts w:ascii="Arial" w:hAnsi="Arial" w:cs="Arial"/>
          <w:color w:val="000000"/>
          <w:sz w:val="24"/>
          <w:szCs w:val="24"/>
        </w:rPr>
        <w:t>, caracterizados como:</w:t>
      </w:r>
    </w:p>
    <w:p w:rsidR="009617B8" w:rsidRPr="00D03296" w:rsidRDefault="009617B8" w:rsidP="009617B8">
      <w:pPr>
        <w:pStyle w:val="PargrafodaLista"/>
        <w:numPr>
          <w:ilvl w:val="0"/>
          <w:numId w:val="6"/>
        </w:numPr>
        <w:shd w:val="clear" w:color="auto" w:fill="FFFFFF"/>
        <w:tabs>
          <w:tab w:val="left" w:pos="851"/>
        </w:tabs>
        <w:spacing w:line="360" w:lineRule="auto"/>
        <w:ind w:left="0" w:firstLine="0"/>
        <w:contextualSpacing/>
        <w:jc w:val="both"/>
        <w:rPr>
          <w:rFonts w:ascii="Arial" w:hAnsi="Arial" w:cs="Arial"/>
          <w:color w:val="000000"/>
        </w:rPr>
      </w:pPr>
      <w:r>
        <w:rPr>
          <w:rFonts w:ascii="Arial" w:hAnsi="Arial" w:cs="Arial"/>
          <w:color w:val="000000"/>
        </w:rPr>
        <w:t>s</w:t>
      </w:r>
      <w:r w:rsidRPr="00D03296">
        <w:rPr>
          <w:rFonts w:ascii="Arial" w:hAnsi="Arial" w:cs="Arial"/>
          <w:color w:val="000000"/>
        </w:rPr>
        <w:t>eminário - Eventos científicos de âmbito menor do que o congresso, tanto em termos de duração (horas a 1 ou 2 dias), quanto ao número de participantes, cobrindo campos de conhecimento mais especializados. Incluem-se nessa classificação: encontro, simpósio, jornada, colóquio, fórum, reunião;</w:t>
      </w:r>
    </w:p>
    <w:p w:rsidR="009617B8" w:rsidRPr="00D03296" w:rsidRDefault="009617B8" w:rsidP="009617B8">
      <w:pPr>
        <w:pStyle w:val="PargrafodaLista"/>
        <w:numPr>
          <w:ilvl w:val="0"/>
          <w:numId w:val="6"/>
        </w:numPr>
        <w:shd w:val="clear" w:color="auto" w:fill="FFFFFF"/>
        <w:tabs>
          <w:tab w:val="left" w:pos="851"/>
        </w:tabs>
        <w:spacing w:line="360" w:lineRule="auto"/>
        <w:ind w:left="0" w:firstLine="0"/>
        <w:contextualSpacing/>
        <w:jc w:val="both"/>
        <w:rPr>
          <w:rFonts w:ascii="Arial" w:hAnsi="Arial" w:cs="Arial"/>
          <w:color w:val="000000"/>
        </w:rPr>
      </w:pPr>
      <w:r>
        <w:rPr>
          <w:rFonts w:ascii="Arial" w:hAnsi="Arial" w:cs="Arial"/>
          <w:color w:val="000000"/>
        </w:rPr>
        <w:t>ciclo de Debates - Encontros sequ</w:t>
      </w:r>
      <w:r w:rsidRPr="00D03296">
        <w:rPr>
          <w:rFonts w:ascii="Arial" w:hAnsi="Arial" w:cs="Arial"/>
          <w:color w:val="000000"/>
        </w:rPr>
        <w:t>enciais que visam à discussão de um tema específico. Inclui: Ciclo, Circuito, Semana;</w:t>
      </w:r>
    </w:p>
    <w:p w:rsidR="009617B8" w:rsidRPr="00D03296" w:rsidRDefault="009617B8" w:rsidP="009617B8">
      <w:pPr>
        <w:pStyle w:val="PargrafodaLista"/>
        <w:numPr>
          <w:ilvl w:val="0"/>
          <w:numId w:val="6"/>
        </w:numPr>
        <w:shd w:val="clear" w:color="auto" w:fill="FFFFFF"/>
        <w:tabs>
          <w:tab w:val="left" w:pos="851"/>
        </w:tabs>
        <w:spacing w:line="360" w:lineRule="auto"/>
        <w:ind w:left="0" w:firstLine="0"/>
        <w:contextualSpacing/>
        <w:jc w:val="both"/>
        <w:rPr>
          <w:rFonts w:ascii="Arial" w:hAnsi="Arial" w:cs="Arial"/>
          <w:color w:val="000000"/>
        </w:rPr>
      </w:pPr>
      <w:r w:rsidRPr="00D03296">
        <w:rPr>
          <w:rFonts w:ascii="Arial" w:hAnsi="Arial" w:cs="Arial"/>
          <w:color w:val="000000"/>
        </w:rPr>
        <w:t xml:space="preserve"> </w:t>
      </w:r>
      <w:r>
        <w:rPr>
          <w:rFonts w:ascii="Arial" w:hAnsi="Arial" w:cs="Arial"/>
          <w:color w:val="000000"/>
        </w:rPr>
        <w:t>e</w:t>
      </w:r>
      <w:r w:rsidRPr="00D03296">
        <w:rPr>
          <w:rFonts w:ascii="Arial" w:hAnsi="Arial" w:cs="Arial"/>
          <w:color w:val="000000"/>
        </w:rPr>
        <w:t>xposição - Exibição pública de obras de arte, produtos, serviços, etc. Inclui: feira, salão, mostra, lançamento;</w:t>
      </w:r>
    </w:p>
    <w:p w:rsidR="009617B8" w:rsidRPr="00D03296" w:rsidRDefault="009617B8" w:rsidP="009617B8">
      <w:pPr>
        <w:pStyle w:val="PargrafodaLista"/>
        <w:numPr>
          <w:ilvl w:val="0"/>
          <w:numId w:val="6"/>
        </w:numPr>
        <w:shd w:val="clear" w:color="auto" w:fill="FFFFFF"/>
        <w:tabs>
          <w:tab w:val="left" w:pos="851"/>
        </w:tabs>
        <w:spacing w:line="360" w:lineRule="auto"/>
        <w:ind w:left="0" w:firstLine="0"/>
        <w:contextualSpacing/>
        <w:jc w:val="both"/>
        <w:rPr>
          <w:rFonts w:ascii="Arial" w:hAnsi="Arial" w:cs="Arial"/>
          <w:color w:val="000000"/>
        </w:rPr>
      </w:pPr>
      <w:r>
        <w:rPr>
          <w:rFonts w:ascii="Arial" w:hAnsi="Arial" w:cs="Arial"/>
          <w:color w:val="000000"/>
        </w:rPr>
        <w:t>e</w:t>
      </w:r>
      <w:r w:rsidRPr="00D03296">
        <w:rPr>
          <w:rFonts w:ascii="Arial" w:hAnsi="Arial" w:cs="Arial"/>
          <w:color w:val="000000"/>
        </w:rPr>
        <w:t>spetáculo - Demonstração pública de eventos cênicos musicais. Inclui: recital, concerto, show, apresentação teatral, exibição de cinema e televisão, demonstração pública de canto, dança e interpretação musical;</w:t>
      </w:r>
    </w:p>
    <w:p w:rsidR="009617B8" w:rsidRPr="00D03296" w:rsidRDefault="009617B8" w:rsidP="009617B8">
      <w:pPr>
        <w:pStyle w:val="PargrafodaLista"/>
        <w:numPr>
          <w:ilvl w:val="0"/>
          <w:numId w:val="6"/>
        </w:numPr>
        <w:shd w:val="clear" w:color="auto" w:fill="FFFFFF"/>
        <w:tabs>
          <w:tab w:val="left" w:pos="851"/>
        </w:tabs>
        <w:spacing w:line="360" w:lineRule="auto"/>
        <w:ind w:left="0" w:firstLine="0"/>
        <w:contextualSpacing/>
        <w:jc w:val="both"/>
        <w:rPr>
          <w:rFonts w:ascii="Arial" w:hAnsi="Arial" w:cs="Arial"/>
          <w:color w:val="000000"/>
        </w:rPr>
      </w:pPr>
      <w:r>
        <w:rPr>
          <w:rFonts w:ascii="Arial" w:hAnsi="Arial" w:cs="Arial"/>
          <w:color w:val="000000"/>
        </w:rPr>
        <w:t>e</w:t>
      </w:r>
      <w:r w:rsidRPr="00D03296">
        <w:rPr>
          <w:rFonts w:ascii="Arial" w:hAnsi="Arial" w:cs="Arial"/>
          <w:color w:val="000000"/>
        </w:rPr>
        <w:t>vento esportivo - Inclui: campeonato, torneio, olimpíada, apresentação esportiva;</w:t>
      </w:r>
    </w:p>
    <w:p w:rsidR="009617B8" w:rsidRPr="00D03296" w:rsidRDefault="009617B8" w:rsidP="009617B8">
      <w:pPr>
        <w:pStyle w:val="PargrafodaLista"/>
        <w:numPr>
          <w:ilvl w:val="0"/>
          <w:numId w:val="6"/>
        </w:numPr>
        <w:shd w:val="clear" w:color="auto" w:fill="FFFFFF"/>
        <w:tabs>
          <w:tab w:val="left" w:pos="851"/>
        </w:tabs>
        <w:spacing w:line="360" w:lineRule="auto"/>
        <w:ind w:left="0" w:firstLine="0"/>
        <w:contextualSpacing/>
        <w:jc w:val="both"/>
        <w:rPr>
          <w:rFonts w:ascii="Arial" w:hAnsi="Arial" w:cs="Arial"/>
          <w:color w:val="000000"/>
        </w:rPr>
      </w:pPr>
      <w:r>
        <w:rPr>
          <w:rFonts w:ascii="Arial" w:hAnsi="Arial" w:cs="Arial"/>
          <w:color w:val="000000"/>
        </w:rPr>
        <w:lastRenderedPageBreak/>
        <w:t>f</w:t>
      </w:r>
      <w:r w:rsidRPr="00D03296">
        <w:rPr>
          <w:rFonts w:ascii="Arial" w:hAnsi="Arial" w:cs="Arial"/>
          <w:color w:val="000000"/>
        </w:rPr>
        <w:t>estival - Série de ações/eventos culturais ou esportivos realizados concomitantemente, em período determinado tempo, geralmente com edições periódicas;</w:t>
      </w:r>
    </w:p>
    <w:p w:rsidR="009617B8" w:rsidRPr="00D03296" w:rsidRDefault="009617B8" w:rsidP="009617B8">
      <w:pPr>
        <w:pStyle w:val="PargrafodaLista"/>
        <w:numPr>
          <w:ilvl w:val="0"/>
          <w:numId w:val="6"/>
        </w:numPr>
        <w:shd w:val="clear" w:color="auto" w:fill="FFFFFF"/>
        <w:tabs>
          <w:tab w:val="left" w:pos="851"/>
        </w:tabs>
        <w:spacing w:line="360" w:lineRule="auto"/>
        <w:ind w:left="0" w:firstLine="0"/>
        <w:contextualSpacing/>
        <w:jc w:val="both"/>
        <w:rPr>
          <w:rFonts w:ascii="Arial" w:hAnsi="Arial" w:cs="Arial"/>
          <w:color w:val="000000"/>
        </w:rPr>
      </w:pPr>
      <w:r>
        <w:rPr>
          <w:rFonts w:ascii="Arial" w:hAnsi="Arial" w:cs="Arial"/>
          <w:color w:val="000000"/>
        </w:rPr>
        <w:t>o</w:t>
      </w:r>
      <w:r w:rsidRPr="00D03296">
        <w:rPr>
          <w:rFonts w:ascii="Arial" w:hAnsi="Arial" w:cs="Arial"/>
          <w:color w:val="000000"/>
        </w:rPr>
        <w:t>utros – Outros eventos não classificados nos itens anteriores;</w:t>
      </w:r>
    </w:p>
    <w:p w:rsidR="009617B8" w:rsidRPr="00D03296" w:rsidRDefault="009617B8" w:rsidP="009617B8">
      <w:pPr>
        <w:shd w:val="clear" w:color="auto" w:fill="FFFFFF"/>
        <w:spacing w:line="360" w:lineRule="auto"/>
        <w:jc w:val="both"/>
        <w:rPr>
          <w:rFonts w:ascii="Arial" w:hAnsi="Arial" w:cs="Arial"/>
          <w:color w:val="000000"/>
          <w:sz w:val="24"/>
          <w:szCs w:val="24"/>
        </w:rPr>
      </w:pPr>
      <w:r w:rsidRPr="00D03296">
        <w:rPr>
          <w:rFonts w:ascii="Arial" w:hAnsi="Arial" w:cs="Arial"/>
          <w:color w:val="000000"/>
          <w:sz w:val="24"/>
          <w:szCs w:val="24"/>
        </w:rPr>
        <w:t xml:space="preserve">V – </w:t>
      </w:r>
      <w:proofErr w:type="gramStart"/>
      <w:r>
        <w:rPr>
          <w:rFonts w:ascii="Arial" w:hAnsi="Arial" w:cs="Arial"/>
          <w:color w:val="000000"/>
          <w:sz w:val="24"/>
          <w:szCs w:val="24"/>
        </w:rPr>
        <w:t>p</w:t>
      </w:r>
      <w:r w:rsidRPr="00D03296">
        <w:rPr>
          <w:rFonts w:ascii="Arial" w:hAnsi="Arial" w:cs="Arial"/>
          <w:color w:val="000000"/>
          <w:sz w:val="24"/>
          <w:szCs w:val="24"/>
        </w:rPr>
        <w:t>restação</w:t>
      </w:r>
      <w:proofErr w:type="gramEnd"/>
      <w:r w:rsidRPr="00D03296">
        <w:rPr>
          <w:rFonts w:ascii="Arial" w:hAnsi="Arial" w:cs="Arial"/>
          <w:color w:val="000000"/>
          <w:sz w:val="24"/>
          <w:szCs w:val="24"/>
        </w:rPr>
        <w:t xml:space="preserve"> de Serviços - Realização de trabalho oferecido pel</w:t>
      </w:r>
      <w:r>
        <w:rPr>
          <w:rFonts w:ascii="Arial" w:hAnsi="Arial" w:cs="Arial"/>
          <w:color w:val="000000"/>
          <w:sz w:val="24"/>
          <w:szCs w:val="24"/>
        </w:rPr>
        <w:t xml:space="preserve">o </w:t>
      </w:r>
      <w:r w:rsidRPr="00940811">
        <w:rPr>
          <w:rFonts w:ascii="Arial" w:hAnsi="Arial" w:cs="Arial"/>
          <w:sz w:val="24"/>
          <w:szCs w:val="24"/>
        </w:rPr>
        <w:t>Centro Universitário</w:t>
      </w:r>
      <w:r w:rsidRPr="00D03296">
        <w:rPr>
          <w:rFonts w:ascii="Arial" w:hAnsi="Arial" w:cs="Arial"/>
          <w:color w:val="000000"/>
          <w:sz w:val="24"/>
          <w:szCs w:val="24"/>
        </w:rPr>
        <w:t xml:space="preserve"> </w:t>
      </w:r>
      <w:r>
        <w:rPr>
          <w:rFonts w:ascii="Arial" w:hAnsi="Arial" w:cs="Arial"/>
          <w:color w:val="000000"/>
          <w:sz w:val="24"/>
          <w:szCs w:val="24"/>
        </w:rPr>
        <w:t xml:space="preserve">UNICEPLAC </w:t>
      </w:r>
      <w:r w:rsidRPr="00D03296">
        <w:rPr>
          <w:rFonts w:ascii="Arial" w:hAnsi="Arial" w:cs="Arial"/>
          <w:color w:val="000000"/>
          <w:sz w:val="24"/>
          <w:szCs w:val="24"/>
        </w:rPr>
        <w:t>ou contratado por terceiros (comunidade ou empresa). A prestação de serviços se caracteriza por intangibilidade, inseparabilidade e não resulta na posse de um bem;</w:t>
      </w:r>
    </w:p>
    <w:p w:rsidR="009617B8" w:rsidRDefault="009617B8" w:rsidP="009617B8">
      <w:pPr>
        <w:shd w:val="clear" w:color="auto" w:fill="FFFFFF"/>
        <w:spacing w:line="360" w:lineRule="auto"/>
        <w:jc w:val="both"/>
        <w:rPr>
          <w:rFonts w:ascii="Arial" w:hAnsi="Arial" w:cs="Arial"/>
          <w:color w:val="000000"/>
          <w:sz w:val="24"/>
          <w:szCs w:val="24"/>
        </w:rPr>
      </w:pPr>
      <w:r w:rsidRPr="00D03296">
        <w:rPr>
          <w:rFonts w:ascii="Arial" w:hAnsi="Arial" w:cs="Arial"/>
          <w:color w:val="000000"/>
          <w:sz w:val="24"/>
          <w:szCs w:val="24"/>
        </w:rPr>
        <w:t xml:space="preserve">VI - </w:t>
      </w:r>
      <w:proofErr w:type="gramStart"/>
      <w:r>
        <w:rPr>
          <w:rFonts w:ascii="Arial" w:hAnsi="Arial" w:cs="Arial"/>
          <w:color w:val="000000"/>
          <w:sz w:val="24"/>
          <w:szCs w:val="24"/>
        </w:rPr>
        <w:t>a</w:t>
      </w:r>
      <w:r w:rsidRPr="00D03296">
        <w:rPr>
          <w:rFonts w:ascii="Arial" w:hAnsi="Arial" w:cs="Arial"/>
          <w:color w:val="000000"/>
          <w:sz w:val="24"/>
          <w:szCs w:val="24"/>
        </w:rPr>
        <w:t>tendimento</w:t>
      </w:r>
      <w:proofErr w:type="gramEnd"/>
      <w:r w:rsidRPr="00D03296">
        <w:rPr>
          <w:rFonts w:ascii="Arial" w:hAnsi="Arial" w:cs="Arial"/>
          <w:color w:val="000000"/>
          <w:sz w:val="24"/>
          <w:szCs w:val="24"/>
        </w:rPr>
        <w:t xml:space="preserve"> ao Público em Espaços de Cultura, Ciência e Tecnologia - Público atendido em visitação nos Espaços e Museus de Cultura, Ciência e Tecnologia da IES. Inclui: visitas em museus, centros de memória, estação ecológica, observatório, planetário, museus de ciência, cine clube, dentre outros.</w:t>
      </w:r>
    </w:p>
    <w:p w:rsidR="009617B8" w:rsidRPr="00D03296" w:rsidRDefault="009617B8" w:rsidP="009617B8">
      <w:pPr>
        <w:shd w:val="clear" w:color="auto" w:fill="FFFFFF"/>
        <w:spacing w:line="360" w:lineRule="auto"/>
        <w:jc w:val="both"/>
        <w:rPr>
          <w:rFonts w:ascii="Arial" w:hAnsi="Arial" w:cs="Arial"/>
          <w:color w:val="000000"/>
          <w:sz w:val="24"/>
          <w:szCs w:val="24"/>
        </w:rPr>
      </w:pPr>
      <w:r w:rsidRPr="00EE2497">
        <w:rPr>
          <w:rFonts w:ascii="Arial" w:hAnsi="Arial" w:cs="Arial"/>
          <w:b/>
          <w:color w:val="000000"/>
          <w:sz w:val="24"/>
          <w:szCs w:val="24"/>
        </w:rPr>
        <w:t>Parágrafo único –</w:t>
      </w:r>
      <w:r>
        <w:rPr>
          <w:rFonts w:ascii="Arial" w:hAnsi="Arial" w:cs="Arial"/>
          <w:color w:val="000000"/>
          <w:sz w:val="24"/>
          <w:szCs w:val="24"/>
        </w:rPr>
        <w:t xml:space="preserve"> Tanto os cursos na modalidade presencial quanto </w:t>
      </w:r>
      <w:proofErr w:type="spellStart"/>
      <w:r>
        <w:rPr>
          <w:rFonts w:ascii="Arial" w:hAnsi="Arial" w:cs="Arial"/>
          <w:color w:val="000000"/>
          <w:sz w:val="24"/>
          <w:szCs w:val="24"/>
        </w:rPr>
        <w:t>EaD</w:t>
      </w:r>
      <w:proofErr w:type="spellEnd"/>
      <w:r>
        <w:rPr>
          <w:rFonts w:ascii="Arial" w:hAnsi="Arial" w:cs="Arial"/>
          <w:color w:val="000000"/>
          <w:sz w:val="24"/>
          <w:szCs w:val="24"/>
        </w:rPr>
        <w:t xml:space="preserve"> podem apresentar e desenvolver os projetos de extensão, podendo o professor/tutor orientar a condução do projeto à distância ou exigindo a participação presencial.</w:t>
      </w:r>
    </w:p>
    <w:bookmarkEnd w:id="7"/>
    <w:p w:rsidR="009617B8" w:rsidRPr="00D03296" w:rsidRDefault="009617B8" w:rsidP="009617B8">
      <w:pPr>
        <w:shd w:val="clear" w:color="auto" w:fill="FFFFFF"/>
        <w:spacing w:line="360" w:lineRule="auto"/>
        <w:jc w:val="both"/>
        <w:rPr>
          <w:rFonts w:ascii="Arial" w:hAnsi="Arial" w:cs="Arial"/>
          <w:color w:val="000000"/>
          <w:sz w:val="24"/>
          <w:szCs w:val="24"/>
        </w:rPr>
      </w:pPr>
    </w:p>
    <w:p w:rsidR="009617B8" w:rsidRDefault="009617B8" w:rsidP="009617B8">
      <w:pPr>
        <w:pStyle w:val="Ttulo1"/>
        <w:spacing w:line="360" w:lineRule="auto"/>
        <w:jc w:val="center"/>
        <w:rPr>
          <w:rFonts w:ascii="Arial" w:hAnsi="Arial" w:cs="Arial"/>
          <w:b/>
          <w:bCs/>
          <w:color w:val="000000"/>
          <w:sz w:val="24"/>
          <w:szCs w:val="24"/>
        </w:rPr>
      </w:pPr>
      <w:bookmarkStart w:id="8" w:name="_Toc413149180"/>
      <w:bookmarkStart w:id="9" w:name="_Toc482104856"/>
      <w:r w:rsidRPr="00D03296">
        <w:rPr>
          <w:rFonts w:ascii="Arial" w:hAnsi="Arial" w:cs="Arial"/>
          <w:b/>
          <w:bCs/>
          <w:color w:val="000000"/>
          <w:sz w:val="24"/>
          <w:szCs w:val="24"/>
        </w:rPr>
        <w:t xml:space="preserve">CAPÍTULO IV </w:t>
      </w:r>
      <w:r>
        <w:rPr>
          <w:rFonts w:ascii="Arial" w:hAnsi="Arial" w:cs="Arial"/>
          <w:b/>
          <w:bCs/>
          <w:color w:val="000000"/>
          <w:sz w:val="24"/>
          <w:szCs w:val="24"/>
        </w:rPr>
        <w:t xml:space="preserve"> - </w:t>
      </w:r>
      <w:r w:rsidRPr="00D03296">
        <w:rPr>
          <w:rFonts w:ascii="Arial" w:hAnsi="Arial" w:cs="Arial"/>
          <w:b/>
          <w:bCs/>
          <w:color w:val="000000"/>
          <w:sz w:val="24"/>
          <w:szCs w:val="24"/>
        </w:rPr>
        <w:t xml:space="preserve"> ÁREAS TEMÁTICAS</w:t>
      </w:r>
      <w:bookmarkEnd w:id="8"/>
      <w:bookmarkEnd w:id="9"/>
    </w:p>
    <w:p w:rsidR="009617B8" w:rsidRPr="00940811" w:rsidRDefault="009617B8" w:rsidP="009617B8">
      <w:pPr>
        <w:spacing w:line="360" w:lineRule="auto"/>
        <w:jc w:val="both"/>
        <w:rPr>
          <w:rFonts w:ascii="Arial" w:hAnsi="Arial" w:cs="Arial"/>
          <w:sz w:val="24"/>
          <w:szCs w:val="24"/>
        </w:rPr>
      </w:pPr>
    </w:p>
    <w:p w:rsidR="009617B8" w:rsidRPr="00D03296" w:rsidRDefault="009617B8" w:rsidP="009617B8">
      <w:pPr>
        <w:shd w:val="clear" w:color="auto" w:fill="FFFFFF"/>
        <w:spacing w:line="360" w:lineRule="auto"/>
        <w:jc w:val="both"/>
        <w:rPr>
          <w:rFonts w:ascii="Arial" w:hAnsi="Arial" w:cs="Arial"/>
          <w:color w:val="000000"/>
          <w:sz w:val="24"/>
          <w:szCs w:val="24"/>
        </w:rPr>
      </w:pPr>
      <w:r w:rsidRPr="00D03296">
        <w:rPr>
          <w:rFonts w:ascii="Arial" w:hAnsi="Arial" w:cs="Arial"/>
          <w:b/>
          <w:color w:val="000000"/>
          <w:sz w:val="24"/>
          <w:szCs w:val="24"/>
        </w:rPr>
        <w:t xml:space="preserve">Art. </w:t>
      </w:r>
      <w:r>
        <w:rPr>
          <w:rFonts w:ascii="Arial" w:hAnsi="Arial" w:cs="Arial"/>
          <w:b/>
          <w:color w:val="000000"/>
          <w:sz w:val="24"/>
          <w:szCs w:val="24"/>
        </w:rPr>
        <w:t>7</w:t>
      </w:r>
      <w:r w:rsidRPr="00D03296">
        <w:rPr>
          <w:rFonts w:ascii="Arial" w:hAnsi="Arial" w:cs="Arial"/>
          <w:color w:val="000000"/>
          <w:sz w:val="24"/>
          <w:szCs w:val="24"/>
        </w:rPr>
        <w:t xml:space="preserve"> Para cada ação de extensão deverá ser definida uma área temática, que terá como parâmetro as políticas públicas, mas outras áreas temáticas poderão ser sugeridas, em função da inserção social e regional da </w:t>
      </w:r>
      <w:r>
        <w:rPr>
          <w:rFonts w:ascii="Arial" w:hAnsi="Arial" w:cs="Arial"/>
          <w:color w:val="000000"/>
          <w:sz w:val="24"/>
          <w:szCs w:val="24"/>
        </w:rPr>
        <w:t>Instituição</w:t>
      </w:r>
      <w:r w:rsidRPr="00D03296">
        <w:rPr>
          <w:rFonts w:ascii="Arial" w:hAnsi="Arial" w:cs="Arial"/>
          <w:color w:val="000000"/>
          <w:sz w:val="24"/>
          <w:szCs w:val="24"/>
        </w:rPr>
        <w:t>, ou de temas emergentes nas diferentes áreas.</w:t>
      </w:r>
    </w:p>
    <w:p w:rsidR="009617B8" w:rsidRPr="00D03296" w:rsidRDefault="009617B8" w:rsidP="009617B8">
      <w:pPr>
        <w:shd w:val="clear" w:color="auto" w:fill="FFFFFF"/>
        <w:spacing w:line="360" w:lineRule="auto"/>
        <w:jc w:val="both"/>
        <w:rPr>
          <w:rFonts w:ascii="Arial" w:hAnsi="Arial" w:cs="Arial"/>
          <w:color w:val="000000"/>
          <w:sz w:val="24"/>
          <w:szCs w:val="24"/>
        </w:rPr>
      </w:pPr>
      <w:r w:rsidRPr="00D03296">
        <w:rPr>
          <w:rFonts w:ascii="Arial" w:hAnsi="Arial" w:cs="Arial"/>
          <w:b/>
          <w:color w:val="000000"/>
          <w:sz w:val="24"/>
          <w:szCs w:val="24"/>
        </w:rPr>
        <w:t xml:space="preserve">Art. </w:t>
      </w:r>
      <w:r>
        <w:rPr>
          <w:rFonts w:ascii="Arial" w:hAnsi="Arial" w:cs="Arial"/>
          <w:b/>
          <w:color w:val="000000"/>
          <w:sz w:val="24"/>
          <w:szCs w:val="24"/>
        </w:rPr>
        <w:t>8</w:t>
      </w:r>
      <w:r w:rsidRPr="00D03296">
        <w:rPr>
          <w:rFonts w:ascii="Arial" w:hAnsi="Arial" w:cs="Arial"/>
          <w:color w:val="000000"/>
          <w:sz w:val="24"/>
          <w:szCs w:val="24"/>
        </w:rPr>
        <w:t xml:space="preserve"> Mesmo que não se encontre no conjunto das áreas relacionadas neste regulamento uma correspondência absoluta entre o objeto de um projeto e o conteúdo descrito nas áreas, a mais aproximada, tematicamente, deverá ser escolhida:</w:t>
      </w:r>
    </w:p>
    <w:p w:rsidR="009617B8" w:rsidRDefault="009617B8" w:rsidP="009617B8">
      <w:pPr>
        <w:shd w:val="clear" w:color="auto" w:fill="FFFFFF"/>
        <w:spacing w:line="360" w:lineRule="auto"/>
        <w:rPr>
          <w:rFonts w:ascii="Arial" w:hAnsi="Arial" w:cs="Arial"/>
          <w:color w:val="000000"/>
          <w:sz w:val="24"/>
          <w:szCs w:val="24"/>
        </w:rPr>
      </w:pPr>
      <w:r w:rsidRPr="00D03296">
        <w:rPr>
          <w:rFonts w:ascii="Arial" w:hAnsi="Arial" w:cs="Arial"/>
          <w:color w:val="000000"/>
          <w:sz w:val="24"/>
          <w:szCs w:val="24"/>
        </w:rPr>
        <w:lastRenderedPageBreak/>
        <w:t xml:space="preserve">I – </w:t>
      </w:r>
      <w:proofErr w:type="gramStart"/>
      <w:r>
        <w:rPr>
          <w:rFonts w:ascii="Arial" w:hAnsi="Arial" w:cs="Arial"/>
          <w:color w:val="000000"/>
          <w:sz w:val="24"/>
          <w:szCs w:val="24"/>
        </w:rPr>
        <w:t>c</w:t>
      </w:r>
      <w:r w:rsidRPr="00D03296">
        <w:rPr>
          <w:rFonts w:ascii="Arial" w:hAnsi="Arial" w:cs="Arial"/>
          <w:color w:val="000000"/>
          <w:sz w:val="24"/>
          <w:szCs w:val="24"/>
        </w:rPr>
        <w:t>omunicação</w:t>
      </w:r>
      <w:proofErr w:type="gramEnd"/>
      <w:r w:rsidRPr="00D03296">
        <w:rPr>
          <w:rFonts w:ascii="Arial" w:hAnsi="Arial" w:cs="Arial"/>
          <w:color w:val="000000"/>
          <w:sz w:val="24"/>
          <w:szCs w:val="24"/>
        </w:rPr>
        <w:t>;</w:t>
      </w:r>
      <w:r w:rsidRPr="00D03296">
        <w:rPr>
          <w:rFonts w:ascii="Arial" w:hAnsi="Arial" w:cs="Arial"/>
          <w:color w:val="000000"/>
          <w:sz w:val="24"/>
          <w:szCs w:val="24"/>
        </w:rPr>
        <w:br/>
        <w:t xml:space="preserve">II – </w:t>
      </w:r>
      <w:r>
        <w:rPr>
          <w:rFonts w:ascii="Arial" w:hAnsi="Arial" w:cs="Arial"/>
          <w:color w:val="000000"/>
          <w:sz w:val="24"/>
          <w:szCs w:val="24"/>
        </w:rPr>
        <w:t>c</w:t>
      </w:r>
      <w:r w:rsidRPr="00D03296">
        <w:rPr>
          <w:rFonts w:ascii="Arial" w:hAnsi="Arial" w:cs="Arial"/>
          <w:color w:val="000000"/>
          <w:sz w:val="24"/>
          <w:szCs w:val="24"/>
        </w:rPr>
        <w:t>ultura;</w:t>
      </w:r>
      <w:r w:rsidRPr="00D03296">
        <w:rPr>
          <w:rFonts w:ascii="Arial" w:hAnsi="Arial" w:cs="Arial"/>
          <w:color w:val="000000"/>
          <w:sz w:val="24"/>
          <w:szCs w:val="24"/>
        </w:rPr>
        <w:br/>
        <w:t xml:space="preserve">III – </w:t>
      </w:r>
      <w:r>
        <w:rPr>
          <w:rFonts w:ascii="Arial" w:hAnsi="Arial" w:cs="Arial"/>
          <w:color w:val="000000"/>
          <w:sz w:val="24"/>
          <w:szCs w:val="24"/>
        </w:rPr>
        <w:t>d</w:t>
      </w:r>
      <w:r w:rsidRPr="00D03296">
        <w:rPr>
          <w:rFonts w:ascii="Arial" w:hAnsi="Arial" w:cs="Arial"/>
          <w:color w:val="000000"/>
          <w:sz w:val="24"/>
          <w:szCs w:val="24"/>
        </w:rPr>
        <w:t>ireitos Humanos e Justiça;</w:t>
      </w:r>
      <w:r w:rsidRPr="00D03296">
        <w:rPr>
          <w:rFonts w:ascii="Arial" w:hAnsi="Arial" w:cs="Arial"/>
          <w:color w:val="000000"/>
          <w:sz w:val="24"/>
          <w:szCs w:val="24"/>
        </w:rPr>
        <w:br/>
        <w:t xml:space="preserve">IV – </w:t>
      </w:r>
      <w:r>
        <w:rPr>
          <w:rFonts w:ascii="Arial" w:hAnsi="Arial" w:cs="Arial"/>
          <w:color w:val="000000"/>
          <w:sz w:val="24"/>
          <w:szCs w:val="24"/>
        </w:rPr>
        <w:t>e</w:t>
      </w:r>
      <w:r w:rsidRPr="00D03296">
        <w:rPr>
          <w:rFonts w:ascii="Arial" w:hAnsi="Arial" w:cs="Arial"/>
          <w:color w:val="000000"/>
          <w:sz w:val="24"/>
          <w:szCs w:val="24"/>
        </w:rPr>
        <w:t>ducação;</w:t>
      </w:r>
      <w:r w:rsidRPr="00D03296">
        <w:rPr>
          <w:rFonts w:ascii="Arial" w:hAnsi="Arial" w:cs="Arial"/>
          <w:color w:val="000000"/>
          <w:sz w:val="24"/>
          <w:szCs w:val="24"/>
        </w:rPr>
        <w:br/>
        <w:t xml:space="preserve">V – </w:t>
      </w:r>
      <w:r>
        <w:rPr>
          <w:rFonts w:ascii="Arial" w:hAnsi="Arial" w:cs="Arial"/>
          <w:color w:val="000000"/>
          <w:sz w:val="24"/>
          <w:szCs w:val="24"/>
        </w:rPr>
        <w:t>m</w:t>
      </w:r>
      <w:r w:rsidRPr="00D03296">
        <w:rPr>
          <w:rFonts w:ascii="Arial" w:hAnsi="Arial" w:cs="Arial"/>
          <w:color w:val="000000"/>
          <w:sz w:val="24"/>
          <w:szCs w:val="24"/>
        </w:rPr>
        <w:t>eio Ambiente;</w:t>
      </w:r>
      <w:r w:rsidRPr="00D03296">
        <w:rPr>
          <w:rFonts w:ascii="Arial" w:hAnsi="Arial" w:cs="Arial"/>
          <w:color w:val="000000"/>
          <w:sz w:val="24"/>
          <w:szCs w:val="24"/>
        </w:rPr>
        <w:br/>
        <w:t xml:space="preserve">VI – </w:t>
      </w:r>
      <w:r>
        <w:rPr>
          <w:rFonts w:ascii="Arial" w:hAnsi="Arial" w:cs="Arial"/>
          <w:color w:val="000000"/>
          <w:sz w:val="24"/>
          <w:szCs w:val="24"/>
        </w:rPr>
        <w:t>s</w:t>
      </w:r>
      <w:r w:rsidRPr="00D03296">
        <w:rPr>
          <w:rFonts w:ascii="Arial" w:hAnsi="Arial" w:cs="Arial"/>
          <w:color w:val="000000"/>
          <w:sz w:val="24"/>
          <w:szCs w:val="24"/>
        </w:rPr>
        <w:t>aúde;</w:t>
      </w:r>
      <w:r w:rsidRPr="00D03296">
        <w:rPr>
          <w:rFonts w:ascii="Arial" w:hAnsi="Arial" w:cs="Arial"/>
          <w:color w:val="000000"/>
          <w:sz w:val="24"/>
          <w:szCs w:val="24"/>
        </w:rPr>
        <w:br/>
        <w:t xml:space="preserve">VII – </w:t>
      </w:r>
      <w:r>
        <w:rPr>
          <w:rFonts w:ascii="Arial" w:hAnsi="Arial" w:cs="Arial"/>
          <w:color w:val="000000"/>
          <w:sz w:val="24"/>
          <w:szCs w:val="24"/>
        </w:rPr>
        <w:t>t</w:t>
      </w:r>
      <w:r w:rsidRPr="00D03296">
        <w:rPr>
          <w:rFonts w:ascii="Arial" w:hAnsi="Arial" w:cs="Arial"/>
          <w:color w:val="000000"/>
          <w:sz w:val="24"/>
          <w:szCs w:val="24"/>
        </w:rPr>
        <w:t>ecnologia e Produção;</w:t>
      </w:r>
      <w:r w:rsidRPr="00D03296">
        <w:rPr>
          <w:rFonts w:ascii="Arial" w:hAnsi="Arial" w:cs="Arial"/>
          <w:color w:val="000000"/>
          <w:sz w:val="24"/>
          <w:szCs w:val="24"/>
        </w:rPr>
        <w:br/>
        <w:t xml:space="preserve">VIII – </w:t>
      </w:r>
      <w:r>
        <w:rPr>
          <w:rFonts w:ascii="Arial" w:hAnsi="Arial" w:cs="Arial"/>
          <w:color w:val="000000"/>
          <w:sz w:val="24"/>
          <w:szCs w:val="24"/>
        </w:rPr>
        <w:t>t</w:t>
      </w:r>
      <w:r w:rsidRPr="00D03296">
        <w:rPr>
          <w:rFonts w:ascii="Arial" w:hAnsi="Arial" w:cs="Arial"/>
          <w:color w:val="000000"/>
          <w:sz w:val="24"/>
          <w:szCs w:val="24"/>
        </w:rPr>
        <w:t>rabalho;</w:t>
      </w:r>
      <w:r w:rsidRPr="00D03296">
        <w:rPr>
          <w:rFonts w:ascii="Arial" w:hAnsi="Arial" w:cs="Arial"/>
          <w:color w:val="000000"/>
          <w:sz w:val="24"/>
          <w:szCs w:val="24"/>
        </w:rPr>
        <w:br/>
        <w:t xml:space="preserve">IX – </w:t>
      </w:r>
      <w:r>
        <w:rPr>
          <w:rFonts w:ascii="Arial" w:hAnsi="Arial" w:cs="Arial"/>
          <w:color w:val="000000"/>
          <w:sz w:val="24"/>
          <w:szCs w:val="24"/>
        </w:rPr>
        <w:t>r</w:t>
      </w:r>
      <w:r w:rsidRPr="00D03296">
        <w:rPr>
          <w:rFonts w:ascii="Arial" w:hAnsi="Arial" w:cs="Arial"/>
          <w:color w:val="000000"/>
          <w:sz w:val="24"/>
          <w:szCs w:val="24"/>
        </w:rPr>
        <w:t>esponsabilidade Social;</w:t>
      </w:r>
      <w:r w:rsidRPr="00D03296">
        <w:rPr>
          <w:rFonts w:ascii="Arial" w:hAnsi="Arial" w:cs="Arial"/>
          <w:color w:val="000000"/>
          <w:sz w:val="24"/>
          <w:szCs w:val="24"/>
        </w:rPr>
        <w:br/>
        <w:t xml:space="preserve">X – </w:t>
      </w:r>
      <w:r>
        <w:rPr>
          <w:rFonts w:ascii="Arial" w:hAnsi="Arial" w:cs="Arial"/>
          <w:color w:val="000000"/>
          <w:sz w:val="24"/>
          <w:szCs w:val="24"/>
        </w:rPr>
        <w:t>i</w:t>
      </w:r>
      <w:r w:rsidRPr="00D03296">
        <w:rPr>
          <w:rFonts w:ascii="Arial" w:hAnsi="Arial" w:cs="Arial"/>
          <w:color w:val="000000"/>
          <w:sz w:val="24"/>
          <w:szCs w:val="24"/>
        </w:rPr>
        <w:t>nclusão Social.</w:t>
      </w:r>
    </w:p>
    <w:p w:rsidR="009617B8" w:rsidRDefault="009617B8" w:rsidP="009617B8">
      <w:pPr>
        <w:shd w:val="clear" w:color="auto" w:fill="FFFFFF"/>
        <w:spacing w:line="360" w:lineRule="auto"/>
        <w:jc w:val="both"/>
        <w:rPr>
          <w:rFonts w:ascii="Arial" w:hAnsi="Arial" w:cs="Arial"/>
          <w:color w:val="000000"/>
          <w:sz w:val="24"/>
          <w:szCs w:val="24"/>
        </w:rPr>
      </w:pPr>
    </w:p>
    <w:p w:rsidR="009617B8" w:rsidRPr="00D03296" w:rsidRDefault="009617B8" w:rsidP="009617B8">
      <w:pPr>
        <w:pStyle w:val="Ttulo1"/>
        <w:spacing w:line="360" w:lineRule="auto"/>
        <w:jc w:val="both"/>
        <w:rPr>
          <w:rFonts w:ascii="Arial" w:hAnsi="Arial" w:cs="Arial"/>
          <w:b/>
          <w:bCs/>
          <w:color w:val="000000"/>
          <w:sz w:val="24"/>
          <w:szCs w:val="24"/>
        </w:rPr>
      </w:pPr>
      <w:bookmarkStart w:id="10" w:name="_Toc413149181"/>
      <w:bookmarkStart w:id="11" w:name="_Toc482104857"/>
      <w:r w:rsidRPr="00D03296">
        <w:rPr>
          <w:rFonts w:ascii="Arial" w:hAnsi="Arial" w:cs="Arial"/>
          <w:b/>
          <w:bCs/>
          <w:color w:val="000000"/>
          <w:sz w:val="24"/>
          <w:szCs w:val="24"/>
        </w:rPr>
        <w:t xml:space="preserve">CAPÍTULO V </w:t>
      </w:r>
      <w:r>
        <w:rPr>
          <w:rFonts w:ascii="Arial" w:hAnsi="Arial" w:cs="Arial"/>
          <w:b/>
          <w:bCs/>
          <w:color w:val="000000"/>
          <w:sz w:val="24"/>
          <w:szCs w:val="24"/>
        </w:rPr>
        <w:t xml:space="preserve">– </w:t>
      </w:r>
      <w:bookmarkEnd w:id="10"/>
      <w:bookmarkEnd w:id="11"/>
      <w:r>
        <w:rPr>
          <w:rFonts w:ascii="Arial" w:hAnsi="Arial" w:cs="Arial"/>
          <w:b/>
          <w:bCs/>
          <w:color w:val="000000"/>
          <w:sz w:val="24"/>
          <w:szCs w:val="24"/>
        </w:rPr>
        <w:t>DO FUNCIONAMENTO DOS PROJETOS DE EXTENSÃO</w:t>
      </w:r>
    </w:p>
    <w:p w:rsidR="009617B8" w:rsidRPr="00940811" w:rsidRDefault="009617B8" w:rsidP="009617B8">
      <w:pPr>
        <w:spacing w:line="360" w:lineRule="auto"/>
        <w:jc w:val="both"/>
        <w:rPr>
          <w:rFonts w:ascii="Arial" w:hAnsi="Arial" w:cs="Arial"/>
          <w:sz w:val="24"/>
          <w:szCs w:val="24"/>
        </w:rPr>
      </w:pPr>
    </w:p>
    <w:p w:rsidR="009617B8" w:rsidRPr="00D03296" w:rsidRDefault="009617B8" w:rsidP="009617B8">
      <w:pPr>
        <w:shd w:val="clear" w:color="auto" w:fill="FFFFFF"/>
        <w:spacing w:line="360" w:lineRule="auto"/>
        <w:jc w:val="both"/>
        <w:rPr>
          <w:rFonts w:ascii="Arial" w:hAnsi="Arial" w:cs="Arial"/>
          <w:color w:val="000000"/>
          <w:sz w:val="24"/>
          <w:szCs w:val="24"/>
        </w:rPr>
      </w:pPr>
      <w:r w:rsidRPr="00D03296">
        <w:rPr>
          <w:rFonts w:ascii="Arial" w:hAnsi="Arial" w:cs="Arial"/>
          <w:b/>
          <w:color w:val="000000"/>
          <w:sz w:val="24"/>
          <w:szCs w:val="24"/>
        </w:rPr>
        <w:t>Art.</w:t>
      </w:r>
      <w:r>
        <w:rPr>
          <w:rFonts w:ascii="Arial" w:hAnsi="Arial" w:cs="Arial"/>
          <w:b/>
          <w:color w:val="000000"/>
          <w:sz w:val="24"/>
          <w:szCs w:val="24"/>
        </w:rPr>
        <w:t xml:space="preserve"> 9</w:t>
      </w:r>
      <w:r w:rsidRPr="00D03296">
        <w:rPr>
          <w:rFonts w:ascii="Arial" w:hAnsi="Arial" w:cs="Arial"/>
          <w:color w:val="000000"/>
          <w:sz w:val="24"/>
          <w:szCs w:val="24"/>
        </w:rPr>
        <w:t xml:space="preserve"> O projeto de extensão deverá ser proposto por docentes, podendo prever a participação de discentes e funcionários d</w:t>
      </w:r>
      <w:r>
        <w:rPr>
          <w:rFonts w:ascii="Arial" w:hAnsi="Arial" w:cs="Arial"/>
          <w:color w:val="000000"/>
          <w:sz w:val="24"/>
          <w:szCs w:val="24"/>
        </w:rPr>
        <w:t>o Centro Universitário UNICEPLAC</w:t>
      </w:r>
      <w:r w:rsidRPr="00D03296">
        <w:rPr>
          <w:rFonts w:ascii="Arial" w:hAnsi="Arial" w:cs="Arial"/>
          <w:color w:val="000000"/>
          <w:sz w:val="24"/>
          <w:szCs w:val="24"/>
        </w:rPr>
        <w:t>.</w:t>
      </w:r>
    </w:p>
    <w:p w:rsidR="009617B8" w:rsidRPr="00D03296" w:rsidRDefault="009617B8" w:rsidP="009617B8">
      <w:pPr>
        <w:shd w:val="clear" w:color="auto" w:fill="FFFFFF"/>
        <w:spacing w:line="360" w:lineRule="auto"/>
        <w:jc w:val="both"/>
        <w:rPr>
          <w:rFonts w:ascii="Arial" w:hAnsi="Arial" w:cs="Arial"/>
          <w:color w:val="000000"/>
          <w:sz w:val="24"/>
          <w:szCs w:val="24"/>
        </w:rPr>
      </w:pPr>
      <w:r w:rsidRPr="00D03296">
        <w:rPr>
          <w:rFonts w:ascii="Arial" w:hAnsi="Arial" w:cs="Arial"/>
          <w:b/>
          <w:color w:val="000000"/>
          <w:sz w:val="24"/>
          <w:szCs w:val="24"/>
        </w:rPr>
        <w:t>Parágrafo único</w:t>
      </w:r>
      <w:r w:rsidRPr="00D03296">
        <w:rPr>
          <w:rFonts w:ascii="Arial" w:hAnsi="Arial" w:cs="Arial"/>
          <w:color w:val="000000"/>
          <w:sz w:val="24"/>
          <w:szCs w:val="24"/>
        </w:rPr>
        <w:t>. O proponente do projeto de extensão será seu coordenador responsável.</w:t>
      </w:r>
    </w:p>
    <w:p w:rsidR="009617B8" w:rsidRPr="000739A3" w:rsidRDefault="009617B8" w:rsidP="009617B8">
      <w:pPr>
        <w:shd w:val="clear" w:color="auto" w:fill="FFFFFF"/>
        <w:spacing w:line="360" w:lineRule="auto"/>
        <w:jc w:val="both"/>
        <w:rPr>
          <w:rFonts w:ascii="Arial" w:hAnsi="Arial" w:cs="Arial"/>
          <w:sz w:val="24"/>
          <w:szCs w:val="24"/>
        </w:rPr>
      </w:pPr>
      <w:r w:rsidRPr="000739A3">
        <w:rPr>
          <w:rFonts w:ascii="Arial" w:hAnsi="Arial" w:cs="Arial"/>
          <w:b/>
          <w:bCs/>
          <w:sz w:val="24"/>
          <w:szCs w:val="24"/>
        </w:rPr>
        <w:t>Art. 10</w:t>
      </w:r>
      <w:r>
        <w:rPr>
          <w:rFonts w:ascii="Arial" w:hAnsi="Arial" w:cs="Arial"/>
          <w:b/>
          <w:bCs/>
          <w:sz w:val="24"/>
          <w:szCs w:val="24"/>
        </w:rPr>
        <w:t>.</w:t>
      </w:r>
      <w:r w:rsidRPr="000739A3">
        <w:rPr>
          <w:rFonts w:ascii="Arial" w:hAnsi="Arial" w:cs="Arial"/>
          <w:sz w:val="24"/>
          <w:szCs w:val="24"/>
        </w:rPr>
        <w:t xml:space="preserve"> A criação dos projetos de extensão deverá observar aos processos de </w:t>
      </w:r>
      <w:r>
        <w:rPr>
          <w:rFonts w:ascii="Arial" w:hAnsi="Arial" w:cs="Arial"/>
          <w:sz w:val="24"/>
          <w:szCs w:val="24"/>
        </w:rPr>
        <w:t>demanda</w:t>
      </w:r>
      <w:r w:rsidRPr="000739A3">
        <w:rPr>
          <w:rFonts w:ascii="Arial" w:hAnsi="Arial" w:cs="Arial"/>
          <w:sz w:val="24"/>
          <w:szCs w:val="24"/>
        </w:rPr>
        <w:t xml:space="preserve"> intern</w:t>
      </w:r>
      <w:r>
        <w:rPr>
          <w:rFonts w:ascii="Arial" w:hAnsi="Arial" w:cs="Arial"/>
          <w:sz w:val="24"/>
          <w:szCs w:val="24"/>
        </w:rPr>
        <w:t>a</w:t>
      </w:r>
      <w:r w:rsidRPr="000739A3">
        <w:rPr>
          <w:rFonts w:ascii="Arial" w:hAnsi="Arial" w:cs="Arial"/>
          <w:sz w:val="24"/>
          <w:szCs w:val="24"/>
        </w:rPr>
        <w:t xml:space="preserve"> de seleção ou aos editais externos. </w:t>
      </w:r>
    </w:p>
    <w:p w:rsidR="009617B8" w:rsidRPr="000739A3" w:rsidRDefault="009617B8" w:rsidP="009617B8">
      <w:pPr>
        <w:shd w:val="clear" w:color="auto" w:fill="FFFFFF"/>
        <w:spacing w:line="360" w:lineRule="auto"/>
        <w:ind w:firstLine="708"/>
        <w:jc w:val="both"/>
        <w:rPr>
          <w:rFonts w:ascii="Arial" w:hAnsi="Arial" w:cs="Arial"/>
          <w:sz w:val="24"/>
          <w:szCs w:val="24"/>
        </w:rPr>
      </w:pPr>
      <w:r w:rsidRPr="000739A3">
        <w:rPr>
          <w:rFonts w:ascii="Arial" w:hAnsi="Arial" w:cs="Arial"/>
          <w:sz w:val="24"/>
          <w:szCs w:val="24"/>
        </w:rPr>
        <w:t xml:space="preserve">§ 1º Os processos de </w:t>
      </w:r>
      <w:r>
        <w:rPr>
          <w:rFonts w:ascii="Arial" w:hAnsi="Arial" w:cs="Arial"/>
          <w:sz w:val="24"/>
          <w:szCs w:val="24"/>
        </w:rPr>
        <w:t>demanda</w:t>
      </w:r>
      <w:r w:rsidRPr="000739A3">
        <w:rPr>
          <w:rFonts w:ascii="Arial" w:hAnsi="Arial" w:cs="Arial"/>
          <w:sz w:val="24"/>
          <w:szCs w:val="24"/>
        </w:rPr>
        <w:t xml:space="preserve"> intern</w:t>
      </w:r>
      <w:r>
        <w:rPr>
          <w:rFonts w:ascii="Arial" w:hAnsi="Arial" w:cs="Arial"/>
          <w:sz w:val="24"/>
          <w:szCs w:val="24"/>
        </w:rPr>
        <w:t>a devem seguir o regulamento específico.</w:t>
      </w:r>
      <w:r w:rsidRPr="000739A3">
        <w:rPr>
          <w:rFonts w:ascii="Arial" w:hAnsi="Arial" w:cs="Arial"/>
          <w:sz w:val="24"/>
          <w:szCs w:val="24"/>
        </w:rPr>
        <w:t xml:space="preserve"> </w:t>
      </w:r>
    </w:p>
    <w:p w:rsidR="009617B8" w:rsidRPr="000739A3" w:rsidRDefault="009617B8" w:rsidP="009617B8">
      <w:pPr>
        <w:shd w:val="clear" w:color="auto" w:fill="FFFFFF"/>
        <w:spacing w:line="360" w:lineRule="auto"/>
        <w:ind w:firstLine="708"/>
        <w:jc w:val="both"/>
        <w:rPr>
          <w:rFonts w:ascii="Arial" w:hAnsi="Arial" w:cs="Arial"/>
          <w:sz w:val="24"/>
          <w:szCs w:val="24"/>
        </w:rPr>
      </w:pPr>
      <w:r w:rsidRPr="000739A3">
        <w:rPr>
          <w:rFonts w:ascii="Arial" w:hAnsi="Arial" w:cs="Arial"/>
          <w:sz w:val="24"/>
          <w:szCs w:val="24"/>
        </w:rPr>
        <w:t xml:space="preserve">§ </w:t>
      </w:r>
      <w:r>
        <w:rPr>
          <w:rFonts w:ascii="Arial" w:hAnsi="Arial" w:cs="Arial"/>
          <w:sz w:val="24"/>
          <w:szCs w:val="24"/>
        </w:rPr>
        <w:t>2</w:t>
      </w:r>
      <w:r w:rsidRPr="000739A3">
        <w:rPr>
          <w:rFonts w:ascii="Arial" w:hAnsi="Arial" w:cs="Arial"/>
          <w:sz w:val="24"/>
          <w:szCs w:val="24"/>
        </w:rPr>
        <w:t xml:space="preserve">º A criação de projetos de extensão para concorrência em editais externos deverá observar as regras destes editais, não havendo compromisso institucional de execução de projetos ou destinação de recursos para propostas que não tenham sido aprovadas. Para a submissão aos editais externos deverá haver o prévio alinhamento com os setores do Centro Universitário e o atendimento às normas internas de submissão e contrapartida aos editais externos. </w:t>
      </w:r>
    </w:p>
    <w:p w:rsidR="009617B8" w:rsidRPr="000739A3" w:rsidRDefault="009617B8" w:rsidP="009617B8">
      <w:pPr>
        <w:shd w:val="clear" w:color="auto" w:fill="FFFFFF"/>
        <w:spacing w:line="360" w:lineRule="auto"/>
        <w:jc w:val="both"/>
        <w:rPr>
          <w:rFonts w:ascii="Arial" w:hAnsi="Arial" w:cs="Arial"/>
          <w:sz w:val="24"/>
          <w:szCs w:val="24"/>
        </w:rPr>
      </w:pPr>
      <w:r w:rsidRPr="000739A3">
        <w:rPr>
          <w:rFonts w:ascii="Arial" w:hAnsi="Arial" w:cs="Arial"/>
          <w:b/>
          <w:bCs/>
          <w:sz w:val="24"/>
          <w:szCs w:val="24"/>
        </w:rPr>
        <w:lastRenderedPageBreak/>
        <w:t>Art. 11</w:t>
      </w:r>
      <w:r>
        <w:rPr>
          <w:rFonts w:ascii="Arial" w:hAnsi="Arial" w:cs="Arial"/>
          <w:b/>
          <w:bCs/>
          <w:sz w:val="24"/>
          <w:szCs w:val="24"/>
        </w:rPr>
        <w:t>.</w:t>
      </w:r>
      <w:r w:rsidRPr="000739A3">
        <w:rPr>
          <w:rFonts w:ascii="Arial" w:hAnsi="Arial" w:cs="Arial"/>
          <w:sz w:val="24"/>
          <w:szCs w:val="24"/>
        </w:rPr>
        <w:t xml:space="preserve"> A execução dos projetos de extensão observará </w:t>
      </w:r>
      <w:r>
        <w:rPr>
          <w:rFonts w:ascii="Arial" w:hAnsi="Arial" w:cs="Arial"/>
          <w:sz w:val="24"/>
          <w:szCs w:val="24"/>
        </w:rPr>
        <w:t>critérios para</w:t>
      </w:r>
      <w:r w:rsidRPr="000739A3">
        <w:rPr>
          <w:rFonts w:ascii="Arial" w:hAnsi="Arial" w:cs="Arial"/>
          <w:sz w:val="24"/>
          <w:szCs w:val="24"/>
        </w:rPr>
        <w:t xml:space="preserve"> propostas aprovadas, dando cumprimento às regras, processos e prazos </w:t>
      </w:r>
      <w:r>
        <w:rPr>
          <w:rFonts w:ascii="Arial" w:hAnsi="Arial" w:cs="Arial"/>
          <w:sz w:val="24"/>
          <w:szCs w:val="24"/>
        </w:rPr>
        <w:t>estabelecidos pelos próprios projetos.</w:t>
      </w:r>
    </w:p>
    <w:p w:rsidR="009617B8" w:rsidRPr="000739A3" w:rsidRDefault="009617B8" w:rsidP="009617B8">
      <w:pPr>
        <w:shd w:val="clear" w:color="auto" w:fill="FFFFFF"/>
        <w:spacing w:line="360" w:lineRule="auto"/>
        <w:ind w:firstLine="708"/>
        <w:jc w:val="both"/>
        <w:rPr>
          <w:rFonts w:ascii="Arial" w:hAnsi="Arial" w:cs="Arial"/>
          <w:b/>
          <w:color w:val="000000"/>
          <w:sz w:val="24"/>
          <w:szCs w:val="24"/>
        </w:rPr>
      </w:pPr>
      <w:r w:rsidRPr="000739A3">
        <w:rPr>
          <w:rFonts w:ascii="Arial" w:hAnsi="Arial" w:cs="Arial"/>
          <w:b/>
          <w:bCs/>
          <w:sz w:val="24"/>
          <w:szCs w:val="24"/>
        </w:rPr>
        <w:t>Parágrafo único</w:t>
      </w:r>
      <w:r w:rsidRPr="000739A3">
        <w:rPr>
          <w:rFonts w:ascii="Arial" w:hAnsi="Arial" w:cs="Arial"/>
          <w:sz w:val="24"/>
          <w:szCs w:val="24"/>
        </w:rPr>
        <w:t xml:space="preserve">: Os alunos participantes e também o professor proponente do projeto serão certificados ao final do prazo estabelecido em edital, após recebimento do relatório final das atividades. O certificado será enviado de forma digital em </w:t>
      </w:r>
      <w:proofErr w:type="spellStart"/>
      <w:r w:rsidRPr="000739A3">
        <w:rPr>
          <w:rFonts w:ascii="Arial" w:hAnsi="Arial" w:cs="Arial"/>
          <w:sz w:val="24"/>
          <w:szCs w:val="24"/>
        </w:rPr>
        <w:t>pdf</w:t>
      </w:r>
      <w:proofErr w:type="spellEnd"/>
      <w:r w:rsidRPr="000739A3">
        <w:rPr>
          <w:rFonts w:ascii="Arial" w:hAnsi="Arial" w:cs="Arial"/>
          <w:sz w:val="24"/>
          <w:szCs w:val="24"/>
        </w:rPr>
        <w:t>.</w:t>
      </w:r>
    </w:p>
    <w:p w:rsidR="009617B8" w:rsidRDefault="009617B8" w:rsidP="009617B8">
      <w:pPr>
        <w:shd w:val="clear" w:color="auto" w:fill="FFFFFF"/>
        <w:spacing w:line="360" w:lineRule="auto"/>
        <w:jc w:val="both"/>
        <w:rPr>
          <w:rFonts w:ascii="Arial" w:hAnsi="Arial" w:cs="Arial"/>
          <w:color w:val="000000"/>
          <w:sz w:val="24"/>
          <w:szCs w:val="24"/>
        </w:rPr>
      </w:pPr>
      <w:r w:rsidRPr="00D03296">
        <w:rPr>
          <w:rFonts w:ascii="Arial" w:hAnsi="Arial" w:cs="Arial"/>
          <w:b/>
          <w:color w:val="000000"/>
          <w:sz w:val="24"/>
          <w:szCs w:val="24"/>
        </w:rPr>
        <w:t>Art. 1</w:t>
      </w:r>
      <w:r>
        <w:rPr>
          <w:rFonts w:ascii="Arial" w:hAnsi="Arial" w:cs="Arial"/>
          <w:b/>
          <w:color w:val="000000"/>
          <w:sz w:val="24"/>
          <w:szCs w:val="24"/>
        </w:rPr>
        <w:t>2.</w:t>
      </w:r>
      <w:r w:rsidRPr="00D03296">
        <w:rPr>
          <w:rFonts w:ascii="Arial" w:hAnsi="Arial" w:cs="Arial"/>
          <w:color w:val="000000"/>
          <w:sz w:val="24"/>
          <w:szCs w:val="24"/>
        </w:rPr>
        <w:t xml:space="preserve"> O projeto de extensão que necessitar de recursos financeiros deverá conter orçamento detalhado, discriminando as necessidades fundamentais relativas a material de consumo, material permanente e, se necessário, despesas com transportes ou outras relativas.</w:t>
      </w:r>
    </w:p>
    <w:p w:rsidR="009617B8" w:rsidRDefault="009617B8" w:rsidP="009617B8">
      <w:pPr>
        <w:shd w:val="clear" w:color="auto" w:fill="FFFFFF"/>
        <w:spacing w:line="360" w:lineRule="auto"/>
        <w:jc w:val="both"/>
        <w:rPr>
          <w:rFonts w:ascii="Arial" w:hAnsi="Arial" w:cs="Arial"/>
          <w:color w:val="000000"/>
          <w:sz w:val="24"/>
          <w:szCs w:val="24"/>
        </w:rPr>
      </w:pPr>
      <w:r w:rsidRPr="000739A3">
        <w:rPr>
          <w:rFonts w:ascii="Arial" w:hAnsi="Arial" w:cs="Arial"/>
          <w:b/>
          <w:bCs/>
          <w:color w:val="000000"/>
          <w:sz w:val="24"/>
          <w:szCs w:val="24"/>
        </w:rPr>
        <w:t>Art. 13</w:t>
      </w:r>
      <w:r>
        <w:rPr>
          <w:rFonts w:ascii="Arial" w:hAnsi="Arial" w:cs="Arial"/>
          <w:color w:val="000000"/>
          <w:sz w:val="24"/>
          <w:szCs w:val="24"/>
        </w:rPr>
        <w:t xml:space="preserve"> </w:t>
      </w:r>
      <w:r>
        <w:rPr>
          <w:rFonts w:ascii="Helvetica" w:hAnsi="Helvetica" w:cs="Helvetica"/>
          <w:color w:val="222222"/>
          <w:sz w:val="23"/>
          <w:szCs w:val="23"/>
          <w:shd w:val="clear" w:color="auto" w:fill="FAFAFA"/>
        </w:rPr>
        <w:t>Não serão aceitos novos projetos de extensão caso o proponente tenha pendente a entrega de relatórios no Núcleo de Iniciação Científica e Extensão.</w:t>
      </w:r>
    </w:p>
    <w:p w:rsidR="009617B8" w:rsidRDefault="009617B8" w:rsidP="009617B8">
      <w:pPr>
        <w:shd w:val="clear" w:color="auto" w:fill="FFFFFF"/>
        <w:spacing w:line="360" w:lineRule="auto"/>
        <w:jc w:val="both"/>
        <w:rPr>
          <w:rFonts w:ascii="Arial" w:hAnsi="Arial" w:cs="Arial"/>
          <w:color w:val="000000"/>
          <w:sz w:val="24"/>
          <w:szCs w:val="24"/>
        </w:rPr>
      </w:pPr>
      <w:proofErr w:type="spellStart"/>
      <w:r w:rsidRPr="000739A3">
        <w:rPr>
          <w:rFonts w:ascii="Arial" w:hAnsi="Arial" w:cs="Arial"/>
          <w:b/>
          <w:bCs/>
          <w:color w:val="000000"/>
          <w:sz w:val="24"/>
          <w:szCs w:val="24"/>
        </w:rPr>
        <w:t>Art</w:t>
      </w:r>
      <w:proofErr w:type="spellEnd"/>
      <w:r w:rsidRPr="000739A3">
        <w:rPr>
          <w:rFonts w:ascii="Arial" w:hAnsi="Arial" w:cs="Arial"/>
          <w:b/>
          <w:bCs/>
          <w:color w:val="000000"/>
          <w:sz w:val="24"/>
          <w:szCs w:val="24"/>
        </w:rPr>
        <w:t xml:space="preserve"> 14</w:t>
      </w:r>
      <w:r>
        <w:rPr>
          <w:rFonts w:ascii="Arial" w:hAnsi="Arial" w:cs="Arial"/>
          <w:color w:val="000000"/>
          <w:sz w:val="24"/>
          <w:szCs w:val="24"/>
        </w:rPr>
        <w:t>. Os projetos integradores são projetos de extensão que não passam pelo processo seletivo e devem seguir regras descritas em regulamento próprio.</w:t>
      </w:r>
    </w:p>
    <w:p w:rsidR="009617B8" w:rsidRDefault="009617B8" w:rsidP="009617B8">
      <w:pPr>
        <w:shd w:val="clear" w:color="auto" w:fill="FFFFFF"/>
        <w:spacing w:line="360" w:lineRule="auto"/>
        <w:jc w:val="both"/>
        <w:rPr>
          <w:rFonts w:ascii="Arial" w:hAnsi="Arial" w:cs="Arial"/>
          <w:color w:val="000000"/>
          <w:sz w:val="24"/>
          <w:szCs w:val="24"/>
        </w:rPr>
      </w:pPr>
      <w:proofErr w:type="spellStart"/>
      <w:r w:rsidRPr="00E96118">
        <w:rPr>
          <w:rFonts w:ascii="Arial" w:hAnsi="Arial" w:cs="Arial"/>
          <w:b/>
          <w:bCs/>
          <w:color w:val="000000"/>
          <w:sz w:val="24"/>
          <w:szCs w:val="24"/>
        </w:rPr>
        <w:t>Art</w:t>
      </w:r>
      <w:proofErr w:type="spellEnd"/>
      <w:r w:rsidRPr="00E96118">
        <w:rPr>
          <w:rFonts w:ascii="Arial" w:hAnsi="Arial" w:cs="Arial"/>
          <w:b/>
          <w:bCs/>
          <w:color w:val="000000"/>
          <w:sz w:val="24"/>
          <w:szCs w:val="24"/>
        </w:rPr>
        <w:t xml:space="preserve"> 15</w:t>
      </w:r>
      <w:r>
        <w:rPr>
          <w:rFonts w:ascii="Arial" w:hAnsi="Arial" w:cs="Arial"/>
          <w:color w:val="000000"/>
          <w:sz w:val="24"/>
          <w:szCs w:val="24"/>
        </w:rPr>
        <w:t>. Os projetos serão avaliados regularmente através de questionário respondido pelo aluno participante.</w:t>
      </w:r>
    </w:p>
    <w:p w:rsidR="009617B8" w:rsidRPr="00D03296" w:rsidRDefault="009617B8" w:rsidP="009617B8">
      <w:pPr>
        <w:shd w:val="clear" w:color="auto" w:fill="FFFFFF"/>
        <w:spacing w:line="360" w:lineRule="auto"/>
        <w:jc w:val="both"/>
        <w:rPr>
          <w:rFonts w:ascii="Arial" w:hAnsi="Arial" w:cs="Arial"/>
          <w:color w:val="000000"/>
          <w:sz w:val="24"/>
          <w:szCs w:val="24"/>
        </w:rPr>
      </w:pPr>
    </w:p>
    <w:p w:rsidR="009617B8" w:rsidRPr="000739A3" w:rsidRDefault="009617B8" w:rsidP="009617B8">
      <w:pPr>
        <w:pStyle w:val="Ttulo1"/>
        <w:spacing w:line="360" w:lineRule="auto"/>
        <w:jc w:val="center"/>
        <w:rPr>
          <w:rFonts w:ascii="Arial" w:hAnsi="Arial" w:cs="Arial"/>
          <w:b/>
          <w:bCs/>
          <w:color w:val="000000"/>
          <w:sz w:val="24"/>
          <w:szCs w:val="24"/>
        </w:rPr>
      </w:pPr>
      <w:bookmarkStart w:id="12" w:name="_Toc413149182"/>
      <w:bookmarkStart w:id="13" w:name="_Toc482104858"/>
      <w:r w:rsidRPr="000739A3">
        <w:rPr>
          <w:rFonts w:ascii="Arial" w:hAnsi="Arial" w:cs="Arial"/>
          <w:b/>
          <w:bCs/>
          <w:color w:val="000000"/>
          <w:sz w:val="24"/>
          <w:szCs w:val="24"/>
        </w:rPr>
        <w:t>CAPÍTULO VI -  DOS CURSOS E EVENTOS</w:t>
      </w:r>
    </w:p>
    <w:p w:rsidR="009617B8" w:rsidRPr="000739A3" w:rsidRDefault="009617B8" w:rsidP="009617B8">
      <w:pPr>
        <w:spacing w:line="360" w:lineRule="auto"/>
        <w:jc w:val="both"/>
        <w:rPr>
          <w:rFonts w:ascii="Arial" w:hAnsi="Arial" w:cs="Arial"/>
          <w:sz w:val="24"/>
          <w:szCs w:val="24"/>
        </w:rPr>
      </w:pPr>
      <w:proofErr w:type="spellStart"/>
      <w:r w:rsidRPr="000739A3">
        <w:rPr>
          <w:rFonts w:ascii="Arial" w:hAnsi="Arial" w:cs="Arial"/>
          <w:b/>
          <w:bCs/>
          <w:sz w:val="24"/>
          <w:szCs w:val="24"/>
        </w:rPr>
        <w:t>Art</w:t>
      </w:r>
      <w:proofErr w:type="spellEnd"/>
      <w:r w:rsidRPr="000739A3">
        <w:rPr>
          <w:rFonts w:ascii="Arial" w:hAnsi="Arial" w:cs="Arial"/>
          <w:b/>
          <w:bCs/>
          <w:sz w:val="24"/>
          <w:szCs w:val="24"/>
        </w:rPr>
        <w:t xml:space="preserve"> 16</w:t>
      </w:r>
      <w:r w:rsidRPr="000739A3">
        <w:rPr>
          <w:rFonts w:ascii="Arial" w:hAnsi="Arial" w:cs="Arial"/>
          <w:sz w:val="24"/>
          <w:szCs w:val="24"/>
        </w:rPr>
        <w:t>. Cursos e eventos são considerados de caráter eventual e devem ser aprovados pelo Núcleo antes de sua execução.</w:t>
      </w:r>
    </w:p>
    <w:p w:rsidR="009617B8" w:rsidRPr="000739A3" w:rsidRDefault="009617B8" w:rsidP="009617B8">
      <w:pPr>
        <w:spacing w:line="360" w:lineRule="auto"/>
        <w:ind w:firstLine="708"/>
        <w:jc w:val="both"/>
        <w:rPr>
          <w:rFonts w:ascii="Arial" w:hAnsi="Arial" w:cs="Arial"/>
          <w:sz w:val="24"/>
          <w:szCs w:val="24"/>
        </w:rPr>
      </w:pPr>
      <w:r w:rsidRPr="000739A3">
        <w:rPr>
          <w:rFonts w:ascii="Arial" w:hAnsi="Arial" w:cs="Arial"/>
          <w:sz w:val="24"/>
          <w:szCs w:val="24"/>
        </w:rPr>
        <w:t xml:space="preserve">Parágrafo único: no caso de cursos e/ou eventos </w:t>
      </w:r>
      <w:proofErr w:type="spellStart"/>
      <w:r w:rsidRPr="000739A3">
        <w:rPr>
          <w:rFonts w:ascii="Arial" w:hAnsi="Arial" w:cs="Arial"/>
          <w:sz w:val="24"/>
          <w:szCs w:val="24"/>
        </w:rPr>
        <w:t>EaD</w:t>
      </w:r>
      <w:proofErr w:type="spellEnd"/>
      <w:r w:rsidRPr="000739A3">
        <w:rPr>
          <w:rFonts w:ascii="Arial" w:hAnsi="Arial" w:cs="Arial"/>
          <w:sz w:val="24"/>
          <w:szCs w:val="24"/>
        </w:rPr>
        <w:t xml:space="preserve">, a aprovação estará vinculada à </w:t>
      </w:r>
      <w:proofErr w:type="spellStart"/>
      <w:r w:rsidRPr="000739A3">
        <w:rPr>
          <w:rFonts w:ascii="Arial" w:hAnsi="Arial" w:cs="Arial"/>
          <w:sz w:val="24"/>
          <w:szCs w:val="24"/>
        </w:rPr>
        <w:t>Uniceplac</w:t>
      </w:r>
      <w:proofErr w:type="spellEnd"/>
      <w:r w:rsidRPr="000739A3">
        <w:rPr>
          <w:rFonts w:ascii="Arial" w:hAnsi="Arial" w:cs="Arial"/>
          <w:sz w:val="24"/>
          <w:szCs w:val="24"/>
        </w:rPr>
        <w:t xml:space="preserve"> Virtual, para o caso de criação de material pertinente.</w:t>
      </w:r>
    </w:p>
    <w:p w:rsidR="009617B8" w:rsidRPr="000739A3" w:rsidRDefault="009617B8" w:rsidP="009617B8">
      <w:pPr>
        <w:spacing w:line="360" w:lineRule="auto"/>
        <w:jc w:val="both"/>
        <w:rPr>
          <w:rFonts w:ascii="Arial" w:hAnsi="Arial" w:cs="Arial"/>
          <w:sz w:val="24"/>
          <w:szCs w:val="24"/>
        </w:rPr>
      </w:pPr>
    </w:p>
    <w:p w:rsidR="009617B8" w:rsidRPr="000739A3" w:rsidRDefault="009617B8" w:rsidP="009617B8">
      <w:pPr>
        <w:spacing w:line="360" w:lineRule="auto"/>
        <w:jc w:val="both"/>
        <w:rPr>
          <w:rFonts w:ascii="Arial" w:hAnsi="Arial" w:cs="Arial"/>
          <w:sz w:val="24"/>
          <w:szCs w:val="24"/>
        </w:rPr>
      </w:pPr>
      <w:proofErr w:type="spellStart"/>
      <w:r w:rsidRPr="000739A3">
        <w:rPr>
          <w:rFonts w:ascii="Arial" w:hAnsi="Arial" w:cs="Arial"/>
          <w:b/>
          <w:bCs/>
          <w:sz w:val="24"/>
          <w:szCs w:val="24"/>
        </w:rPr>
        <w:lastRenderedPageBreak/>
        <w:t>Art</w:t>
      </w:r>
      <w:proofErr w:type="spellEnd"/>
      <w:r w:rsidRPr="000739A3">
        <w:rPr>
          <w:rFonts w:ascii="Arial" w:hAnsi="Arial" w:cs="Arial"/>
          <w:b/>
          <w:bCs/>
          <w:sz w:val="24"/>
          <w:szCs w:val="24"/>
        </w:rPr>
        <w:t xml:space="preserve"> 17</w:t>
      </w:r>
      <w:r w:rsidRPr="000739A3">
        <w:rPr>
          <w:rFonts w:ascii="Arial" w:hAnsi="Arial" w:cs="Arial"/>
          <w:sz w:val="24"/>
          <w:szCs w:val="24"/>
        </w:rPr>
        <w:t xml:space="preserve">. Podem ser proponentes de um evento pessoas da comunidade, sob a responsabilidade de um professor do Centro Universitário e com a assessoria do Núcleo de Extensão. </w:t>
      </w:r>
    </w:p>
    <w:p w:rsidR="009617B8" w:rsidRPr="000739A3" w:rsidRDefault="009617B8" w:rsidP="009617B8">
      <w:pPr>
        <w:spacing w:line="360" w:lineRule="auto"/>
        <w:jc w:val="both"/>
        <w:rPr>
          <w:rFonts w:ascii="Arial" w:hAnsi="Arial" w:cs="Arial"/>
          <w:sz w:val="24"/>
          <w:szCs w:val="24"/>
        </w:rPr>
      </w:pPr>
      <w:r w:rsidRPr="000739A3">
        <w:rPr>
          <w:rFonts w:ascii="Arial" w:hAnsi="Arial" w:cs="Arial"/>
          <w:b/>
          <w:bCs/>
          <w:sz w:val="24"/>
          <w:szCs w:val="24"/>
        </w:rPr>
        <w:t>Art. 18.</w:t>
      </w:r>
      <w:r w:rsidRPr="000739A3">
        <w:rPr>
          <w:rFonts w:ascii="Arial" w:hAnsi="Arial" w:cs="Arial"/>
          <w:sz w:val="24"/>
          <w:szCs w:val="24"/>
        </w:rPr>
        <w:t xml:space="preserve"> Os Cursos/eventos podem ser oferecidos a qualquer tempo, mediante planejamento prévio, nos espaços do Centro Universitário ou fora deles. </w:t>
      </w:r>
    </w:p>
    <w:p w:rsidR="009617B8" w:rsidRPr="000739A3" w:rsidRDefault="009617B8" w:rsidP="009617B8">
      <w:pPr>
        <w:spacing w:line="360" w:lineRule="auto"/>
        <w:ind w:firstLine="708"/>
        <w:jc w:val="both"/>
        <w:rPr>
          <w:rFonts w:ascii="Arial" w:hAnsi="Arial" w:cs="Arial"/>
          <w:sz w:val="24"/>
          <w:szCs w:val="24"/>
        </w:rPr>
      </w:pPr>
      <w:r w:rsidRPr="009617B8">
        <w:rPr>
          <w:rFonts w:ascii="Arial" w:hAnsi="Arial" w:cs="Arial"/>
          <w:b/>
          <w:sz w:val="24"/>
          <w:szCs w:val="24"/>
        </w:rPr>
        <w:t>Parágrafo único</w:t>
      </w:r>
      <w:r w:rsidRPr="000739A3">
        <w:rPr>
          <w:rFonts w:ascii="Arial" w:hAnsi="Arial" w:cs="Arial"/>
          <w:sz w:val="24"/>
          <w:szCs w:val="24"/>
        </w:rPr>
        <w:t>: a certificação dos participantes estará vinculada ao proponente do curso ou evento.</w:t>
      </w:r>
    </w:p>
    <w:p w:rsidR="009617B8" w:rsidRPr="000739A3" w:rsidRDefault="009617B8" w:rsidP="009617B8">
      <w:pPr>
        <w:spacing w:line="360" w:lineRule="auto"/>
        <w:jc w:val="both"/>
        <w:rPr>
          <w:rFonts w:ascii="Arial" w:hAnsi="Arial" w:cs="Arial"/>
          <w:sz w:val="24"/>
          <w:szCs w:val="24"/>
        </w:rPr>
      </w:pPr>
      <w:r w:rsidRPr="000739A3">
        <w:rPr>
          <w:rFonts w:ascii="Arial" w:hAnsi="Arial" w:cs="Arial"/>
          <w:b/>
          <w:bCs/>
          <w:sz w:val="24"/>
          <w:szCs w:val="24"/>
        </w:rPr>
        <w:t>Art. 19</w:t>
      </w:r>
      <w:r w:rsidRPr="000739A3">
        <w:rPr>
          <w:rFonts w:ascii="Arial" w:hAnsi="Arial" w:cs="Arial"/>
          <w:sz w:val="24"/>
          <w:szCs w:val="24"/>
        </w:rPr>
        <w:t>. Os Cursos/eventos estarão vinculados a um ou mais cursos de graduação, de pós-graduação ou a setores institucionais, cabendo ao proponente indicar o vínculo da proposta.</w:t>
      </w:r>
    </w:p>
    <w:p w:rsidR="009617B8" w:rsidRPr="00D03296" w:rsidRDefault="009617B8" w:rsidP="009617B8">
      <w:pPr>
        <w:pStyle w:val="Ttulo1"/>
        <w:spacing w:line="360" w:lineRule="auto"/>
        <w:jc w:val="center"/>
        <w:rPr>
          <w:rFonts w:ascii="Arial" w:hAnsi="Arial" w:cs="Arial"/>
          <w:b/>
          <w:bCs/>
          <w:color w:val="000000"/>
          <w:sz w:val="24"/>
          <w:szCs w:val="24"/>
        </w:rPr>
      </w:pPr>
      <w:r>
        <w:rPr>
          <w:rFonts w:ascii="Arial" w:hAnsi="Arial" w:cs="Arial"/>
          <w:b/>
          <w:bCs/>
          <w:color w:val="000000"/>
          <w:sz w:val="24"/>
          <w:szCs w:val="24"/>
        </w:rPr>
        <w:t xml:space="preserve">CAPÍTULO VII </w:t>
      </w:r>
      <w:r w:rsidRPr="00D03296">
        <w:rPr>
          <w:rFonts w:ascii="Arial" w:hAnsi="Arial" w:cs="Arial"/>
          <w:b/>
          <w:bCs/>
          <w:color w:val="000000"/>
          <w:sz w:val="24"/>
          <w:szCs w:val="24"/>
        </w:rPr>
        <w:t>PROGRAMA DE BOLSAS DE EXTENSÃO</w:t>
      </w:r>
      <w:bookmarkEnd w:id="12"/>
      <w:bookmarkEnd w:id="13"/>
    </w:p>
    <w:p w:rsidR="009617B8" w:rsidRPr="00522CF1" w:rsidRDefault="009617B8" w:rsidP="009617B8">
      <w:pPr>
        <w:spacing w:line="360" w:lineRule="auto"/>
        <w:jc w:val="both"/>
        <w:rPr>
          <w:rFonts w:ascii="Arial" w:hAnsi="Arial" w:cs="Arial"/>
          <w:sz w:val="24"/>
          <w:szCs w:val="24"/>
        </w:rPr>
      </w:pPr>
      <w:r w:rsidRPr="00D03296">
        <w:rPr>
          <w:rFonts w:ascii="Arial" w:hAnsi="Arial" w:cs="Arial"/>
          <w:b/>
          <w:color w:val="000000"/>
          <w:sz w:val="24"/>
          <w:szCs w:val="24"/>
        </w:rPr>
        <w:t xml:space="preserve">Art. </w:t>
      </w:r>
      <w:r>
        <w:rPr>
          <w:rFonts w:ascii="Arial" w:hAnsi="Arial" w:cs="Arial"/>
          <w:b/>
          <w:color w:val="000000"/>
          <w:sz w:val="24"/>
          <w:szCs w:val="24"/>
        </w:rPr>
        <w:t>20.</w:t>
      </w:r>
      <w:r w:rsidRPr="00D03296">
        <w:rPr>
          <w:rFonts w:ascii="Arial" w:hAnsi="Arial" w:cs="Arial"/>
          <w:color w:val="000000"/>
          <w:sz w:val="24"/>
          <w:szCs w:val="24"/>
        </w:rPr>
        <w:t xml:space="preserve"> As bolsas de extensão serão determinadas por portaria da </w:t>
      </w:r>
      <w:r>
        <w:rPr>
          <w:rFonts w:ascii="Arial" w:hAnsi="Arial" w:cs="Arial"/>
          <w:color w:val="000000"/>
          <w:sz w:val="24"/>
          <w:szCs w:val="24"/>
        </w:rPr>
        <w:t>Reitoria</w:t>
      </w:r>
      <w:r w:rsidRPr="00D03296">
        <w:rPr>
          <w:rFonts w:ascii="Arial" w:hAnsi="Arial" w:cs="Arial"/>
          <w:color w:val="000000"/>
          <w:sz w:val="24"/>
          <w:szCs w:val="24"/>
        </w:rPr>
        <w:t xml:space="preserve"> para cada ano letivo com publicação antecipada de 60 (sess</w:t>
      </w:r>
      <w:r>
        <w:rPr>
          <w:rFonts w:ascii="Arial" w:hAnsi="Arial" w:cs="Arial"/>
          <w:color w:val="000000"/>
          <w:sz w:val="24"/>
          <w:szCs w:val="24"/>
        </w:rPr>
        <w:t xml:space="preserve">enta) dias do início do período </w:t>
      </w:r>
      <w:r w:rsidRPr="00522CF1">
        <w:rPr>
          <w:rFonts w:ascii="Arial" w:hAnsi="Arial" w:cs="Arial"/>
          <w:sz w:val="24"/>
          <w:szCs w:val="24"/>
        </w:rPr>
        <w:t>e serão destinadas a alunos dos cursos de graduação (presenciais e a distância) do Centro Universitário UNI</w:t>
      </w:r>
      <w:r>
        <w:rPr>
          <w:rFonts w:ascii="Arial" w:hAnsi="Arial" w:cs="Arial"/>
          <w:sz w:val="24"/>
          <w:szCs w:val="24"/>
        </w:rPr>
        <w:t>CEPLAC</w:t>
      </w:r>
      <w:r w:rsidRPr="00522CF1">
        <w:rPr>
          <w:rFonts w:ascii="Arial" w:hAnsi="Arial" w:cs="Arial"/>
          <w:sz w:val="24"/>
          <w:szCs w:val="24"/>
        </w:rPr>
        <w:t>.</w:t>
      </w:r>
    </w:p>
    <w:p w:rsidR="009617B8" w:rsidRPr="00D03296" w:rsidRDefault="009617B8" w:rsidP="009617B8">
      <w:pPr>
        <w:shd w:val="clear" w:color="auto" w:fill="FFFFFF"/>
        <w:spacing w:line="360" w:lineRule="auto"/>
        <w:jc w:val="both"/>
        <w:rPr>
          <w:rFonts w:ascii="Arial" w:hAnsi="Arial" w:cs="Arial"/>
          <w:color w:val="000000"/>
          <w:sz w:val="24"/>
          <w:szCs w:val="24"/>
        </w:rPr>
      </w:pPr>
    </w:p>
    <w:p w:rsidR="009617B8" w:rsidRDefault="009617B8" w:rsidP="009617B8">
      <w:pPr>
        <w:pStyle w:val="Ttulo1"/>
        <w:spacing w:line="360" w:lineRule="auto"/>
        <w:jc w:val="center"/>
        <w:rPr>
          <w:rFonts w:ascii="Arial" w:hAnsi="Arial" w:cs="Arial"/>
          <w:b/>
          <w:bCs/>
          <w:color w:val="000000"/>
          <w:sz w:val="24"/>
          <w:szCs w:val="24"/>
        </w:rPr>
      </w:pPr>
      <w:bookmarkStart w:id="14" w:name="_Toc413149183"/>
      <w:bookmarkStart w:id="15" w:name="_Toc482104859"/>
      <w:r>
        <w:rPr>
          <w:rFonts w:ascii="Arial" w:hAnsi="Arial" w:cs="Arial"/>
          <w:b/>
          <w:bCs/>
          <w:color w:val="000000"/>
          <w:sz w:val="24"/>
          <w:szCs w:val="24"/>
        </w:rPr>
        <w:t xml:space="preserve">CAPÍTULO VIII - </w:t>
      </w:r>
      <w:r w:rsidRPr="00D03296">
        <w:rPr>
          <w:rFonts w:ascii="Arial" w:hAnsi="Arial" w:cs="Arial"/>
          <w:b/>
          <w:bCs/>
          <w:color w:val="000000"/>
          <w:sz w:val="24"/>
          <w:szCs w:val="24"/>
        </w:rPr>
        <w:t>DISPOSIÇÕES GERAIS</w:t>
      </w:r>
      <w:bookmarkEnd w:id="14"/>
      <w:bookmarkEnd w:id="15"/>
    </w:p>
    <w:p w:rsidR="009617B8" w:rsidRPr="00940811" w:rsidRDefault="009617B8" w:rsidP="009617B8">
      <w:pPr>
        <w:spacing w:line="360" w:lineRule="auto"/>
        <w:jc w:val="both"/>
        <w:rPr>
          <w:rFonts w:ascii="Arial" w:hAnsi="Arial" w:cs="Arial"/>
          <w:sz w:val="24"/>
          <w:szCs w:val="24"/>
        </w:rPr>
      </w:pPr>
    </w:p>
    <w:p w:rsidR="009617B8" w:rsidRPr="00D03296" w:rsidRDefault="009617B8" w:rsidP="009617B8">
      <w:pPr>
        <w:shd w:val="clear" w:color="auto" w:fill="FFFFFF"/>
        <w:spacing w:line="360" w:lineRule="auto"/>
        <w:jc w:val="both"/>
        <w:rPr>
          <w:rFonts w:ascii="Arial" w:hAnsi="Arial" w:cs="Arial"/>
          <w:color w:val="000000"/>
          <w:sz w:val="24"/>
          <w:szCs w:val="24"/>
        </w:rPr>
      </w:pPr>
      <w:r w:rsidRPr="00D03296">
        <w:rPr>
          <w:rFonts w:ascii="Arial" w:hAnsi="Arial" w:cs="Arial"/>
          <w:b/>
          <w:color w:val="000000"/>
          <w:sz w:val="24"/>
          <w:szCs w:val="24"/>
        </w:rPr>
        <w:t xml:space="preserve">Art. </w:t>
      </w:r>
      <w:r>
        <w:rPr>
          <w:rFonts w:ascii="Arial" w:hAnsi="Arial" w:cs="Arial"/>
          <w:b/>
          <w:color w:val="000000"/>
          <w:sz w:val="24"/>
          <w:szCs w:val="24"/>
        </w:rPr>
        <w:t xml:space="preserve">21. </w:t>
      </w:r>
      <w:r w:rsidRPr="00D03296">
        <w:rPr>
          <w:rFonts w:ascii="Arial" w:hAnsi="Arial" w:cs="Arial"/>
          <w:color w:val="000000"/>
          <w:sz w:val="24"/>
          <w:szCs w:val="24"/>
        </w:rPr>
        <w:t xml:space="preserve"> Os casos omissos neste Regulamento serão resolvidos pelo </w:t>
      </w:r>
      <w:r>
        <w:rPr>
          <w:rFonts w:ascii="Arial" w:hAnsi="Arial" w:cs="Arial"/>
          <w:color w:val="000000"/>
          <w:sz w:val="24"/>
          <w:szCs w:val="24"/>
        </w:rPr>
        <w:t>Pró-Reitor</w:t>
      </w:r>
      <w:r w:rsidRPr="00D03296">
        <w:rPr>
          <w:rFonts w:ascii="Arial" w:hAnsi="Arial" w:cs="Arial"/>
          <w:color w:val="000000"/>
          <w:sz w:val="24"/>
          <w:szCs w:val="24"/>
        </w:rPr>
        <w:t xml:space="preserve"> Acadêmico e, em segunda instância, pelo Conselho de Ensino, Iniciação Científica e Extensão.</w:t>
      </w:r>
    </w:p>
    <w:p w:rsidR="009617B8" w:rsidRPr="00D03296" w:rsidRDefault="009617B8" w:rsidP="009617B8">
      <w:pPr>
        <w:shd w:val="clear" w:color="auto" w:fill="FFFFFF"/>
        <w:spacing w:line="360" w:lineRule="auto"/>
        <w:jc w:val="both"/>
        <w:rPr>
          <w:rFonts w:ascii="Arial" w:hAnsi="Arial" w:cs="Arial"/>
          <w:color w:val="000000"/>
          <w:sz w:val="24"/>
          <w:szCs w:val="24"/>
        </w:rPr>
      </w:pPr>
      <w:r w:rsidRPr="00D03296">
        <w:rPr>
          <w:rFonts w:ascii="Arial" w:hAnsi="Arial" w:cs="Arial"/>
          <w:b/>
          <w:color w:val="000000"/>
          <w:sz w:val="24"/>
          <w:szCs w:val="24"/>
        </w:rPr>
        <w:t xml:space="preserve">Art. </w:t>
      </w:r>
      <w:r>
        <w:rPr>
          <w:rFonts w:ascii="Arial" w:hAnsi="Arial" w:cs="Arial"/>
          <w:b/>
          <w:color w:val="000000"/>
          <w:sz w:val="24"/>
          <w:szCs w:val="24"/>
        </w:rPr>
        <w:t xml:space="preserve">22. </w:t>
      </w:r>
      <w:r w:rsidRPr="00D03296">
        <w:rPr>
          <w:rFonts w:ascii="Arial" w:hAnsi="Arial" w:cs="Arial"/>
          <w:color w:val="000000"/>
          <w:sz w:val="24"/>
          <w:szCs w:val="24"/>
        </w:rPr>
        <w:t xml:space="preserve">Para toda e qualquer ação de extensão aprovada e realizada é obrigatório o preenchimento e apresentação </w:t>
      </w:r>
      <w:r>
        <w:rPr>
          <w:rFonts w:ascii="Arial" w:hAnsi="Arial" w:cs="Arial"/>
          <w:color w:val="000000"/>
          <w:sz w:val="24"/>
          <w:szCs w:val="24"/>
        </w:rPr>
        <w:t>ao Núcleo de Iniciação Científica e Extensão</w:t>
      </w:r>
      <w:r w:rsidRPr="00D03296">
        <w:rPr>
          <w:rFonts w:ascii="Arial" w:hAnsi="Arial" w:cs="Arial"/>
          <w:color w:val="000000"/>
          <w:sz w:val="24"/>
          <w:szCs w:val="24"/>
        </w:rPr>
        <w:t xml:space="preserve"> dos documentos comprobatórios da realização da atividade.</w:t>
      </w:r>
    </w:p>
    <w:p w:rsidR="009617B8" w:rsidRPr="00D03296" w:rsidRDefault="009617B8" w:rsidP="009617B8">
      <w:pPr>
        <w:shd w:val="clear" w:color="auto" w:fill="FFFFFF"/>
        <w:spacing w:line="360" w:lineRule="auto"/>
        <w:jc w:val="both"/>
        <w:rPr>
          <w:rFonts w:ascii="Arial" w:hAnsi="Arial" w:cs="Arial"/>
          <w:color w:val="000000"/>
          <w:sz w:val="24"/>
          <w:szCs w:val="24"/>
        </w:rPr>
      </w:pPr>
      <w:r w:rsidRPr="00D03296">
        <w:rPr>
          <w:rFonts w:ascii="Arial" w:hAnsi="Arial" w:cs="Arial"/>
          <w:b/>
          <w:color w:val="000000"/>
          <w:sz w:val="24"/>
          <w:szCs w:val="24"/>
        </w:rPr>
        <w:t xml:space="preserve">Art. </w:t>
      </w:r>
      <w:r>
        <w:rPr>
          <w:rFonts w:ascii="Arial" w:hAnsi="Arial" w:cs="Arial"/>
          <w:b/>
          <w:color w:val="000000"/>
          <w:sz w:val="24"/>
          <w:szCs w:val="24"/>
        </w:rPr>
        <w:t xml:space="preserve">23. </w:t>
      </w:r>
      <w:r w:rsidRPr="00D03296">
        <w:rPr>
          <w:rFonts w:ascii="Arial" w:hAnsi="Arial" w:cs="Arial"/>
          <w:color w:val="000000"/>
          <w:sz w:val="24"/>
          <w:szCs w:val="24"/>
        </w:rPr>
        <w:t xml:space="preserve">O presente Regulamento poderá ser modificado por imposição de normas superiores ou por iniciativa do Conselho de Ensino, Iniciação Científica e Extensão, sendo que em todos os casos cabe aprovação da </w:t>
      </w:r>
      <w:r>
        <w:rPr>
          <w:rFonts w:ascii="Arial" w:hAnsi="Arial" w:cs="Arial"/>
          <w:color w:val="000000"/>
          <w:sz w:val="24"/>
          <w:szCs w:val="24"/>
        </w:rPr>
        <w:t>Reitoria</w:t>
      </w:r>
      <w:r w:rsidRPr="00D03296">
        <w:rPr>
          <w:rFonts w:ascii="Arial" w:hAnsi="Arial" w:cs="Arial"/>
          <w:color w:val="000000"/>
          <w:sz w:val="24"/>
          <w:szCs w:val="24"/>
        </w:rPr>
        <w:t>.</w:t>
      </w:r>
    </w:p>
    <w:p w:rsidR="009617B8" w:rsidRDefault="009617B8" w:rsidP="009617B8">
      <w:pPr>
        <w:tabs>
          <w:tab w:val="left" w:pos="5520"/>
        </w:tabs>
        <w:jc w:val="both"/>
      </w:pPr>
    </w:p>
    <w:p w:rsidR="009617B8" w:rsidRPr="00D759ED" w:rsidRDefault="009617B8" w:rsidP="009617B8">
      <w:pPr>
        <w:tabs>
          <w:tab w:val="left" w:pos="5520"/>
        </w:tabs>
        <w:jc w:val="both"/>
        <w:rPr>
          <w:rFonts w:ascii="Arial" w:hAnsi="Arial" w:cs="Arial"/>
          <w:b/>
          <w:sz w:val="24"/>
          <w:szCs w:val="24"/>
        </w:rPr>
      </w:pPr>
      <w:r w:rsidRPr="00D759ED">
        <w:rPr>
          <w:rFonts w:ascii="Arial" w:hAnsi="Arial" w:cs="Arial"/>
          <w:b/>
          <w:sz w:val="24"/>
          <w:szCs w:val="24"/>
        </w:rPr>
        <w:t>6.1 Fluxos de Ação, Registros e Avaliação da Extensão</w:t>
      </w:r>
    </w:p>
    <w:p w:rsidR="009617B8" w:rsidRDefault="009617B8" w:rsidP="009617B8">
      <w:pPr>
        <w:tabs>
          <w:tab w:val="left" w:pos="5520"/>
        </w:tabs>
        <w:spacing w:line="360" w:lineRule="auto"/>
        <w:jc w:val="both"/>
        <w:rPr>
          <w:rFonts w:ascii="Arial" w:hAnsi="Arial" w:cs="Arial"/>
          <w:sz w:val="24"/>
          <w:szCs w:val="24"/>
        </w:rPr>
      </w:pPr>
      <w:r>
        <w:rPr>
          <w:rFonts w:ascii="Arial" w:hAnsi="Arial" w:cs="Arial"/>
          <w:sz w:val="24"/>
          <w:szCs w:val="24"/>
        </w:rPr>
        <w:t xml:space="preserve">              As propostas de projetos, cursos, eventos e afins no UNICEPLAC, são enviados para o Núcleo de Iniciação Científica e Extensão por meio de edital que é aberto uma vez ao ano, para seleção e execução durante o ano letivo seguinte.</w:t>
      </w:r>
    </w:p>
    <w:p w:rsidR="009617B8" w:rsidRDefault="009617B8" w:rsidP="009617B8">
      <w:pPr>
        <w:tabs>
          <w:tab w:val="left" w:pos="5520"/>
        </w:tabs>
        <w:spacing w:line="360" w:lineRule="auto"/>
        <w:jc w:val="both"/>
        <w:rPr>
          <w:rFonts w:ascii="Arial" w:hAnsi="Arial" w:cs="Arial"/>
          <w:sz w:val="24"/>
          <w:szCs w:val="24"/>
        </w:rPr>
      </w:pPr>
      <w:r>
        <w:rPr>
          <w:rFonts w:ascii="Arial" w:hAnsi="Arial" w:cs="Arial"/>
          <w:sz w:val="24"/>
          <w:szCs w:val="24"/>
        </w:rPr>
        <w:t xml:space="preserve">             O fluxo de submissão de propostas (projetos) e seleção estão descritos na figura 1.</w:t>
      </w:r>
    </w:p>
    <w:p w:rsidR="009617B8" w:rsidRDefault="009617B8" w:rsidP="009617B8">
      <w:pPr>
        <w:tabs>
          <w:tab w:val="left" w:pos="5520"/>
        </w:tabs>
        <w:spacing w:line="360" w:lineRule="auto"/>
        <w:jc w:val="both"/>
        <w:rPr>
          <w:rFonts w:ascii="Arial" w:hAnsi="Arial" w:cs="Arial"/>
          <w:sz w:val="24"/>
          <w:szCs w:val="24"/>
        </w:rPr>
      </w:pPr>
      <w:r>
        <w:rPr>
          <w:rFonts w:ascii="Arial" w:hAnsi="Arial" w:cs="Arial"/>
          <w:sz w:val="24"/>
          <w:szCs w:val="24"/>
        </w:rPr>
        <w:t xml:space="preserve">             Os professores proponentes, devem seguir as informações descritas no edital e devem cumprir os prazos para envio dos formulários com relatórios parcial e final. Neles, as ações devem ser descritas de forma pormenorizada contendo informações relevantes sobre as ações como: número de participantes, evolução das ações desenvolvidas tanto para os estudantes quanto para a comunidade participante; metodologia das condutas envolvidas nas ações.</w:t>
      </w:r>
    </w:p>
    <w:p w:rsidR="009617B8" w:rsidRDefault="009617B8" w:rsidP="009617B8">
      <w:pPr>
        <w:tabs>
          <w:tab w:val="left" w:pos="5520"/>
        </w:tabs>
        <w:spacing w:line="360" w:lineRule="auto"/>
        <w:jc w:val="both"/>
        <w:rPr>
          <w:rFonts w:ascii="Arial" w:hAnsi="Arial" w:cs="Arial"/>
          <w:sz w:val="24"/>
          <w:szCs w:val="24"/>
        </w:rPr>
      </w:pPr>
      <w:r>
        <w:rPr>
          <w:rFonts w:ascii="Arial" w:hAnsi="Arial" w:cs="Arial"/>
          <w:sz w:val="24"/>
          <w:szCs w:val="24"/>
        </w:rPr>
        <w:t xml:space="preserve">              Entendendo que a ação extensionista deve ser voltada para as necessidades da comunidade civil, os formulários avaliativos são utilizados tanto para os estudantes quanto para os participantes. Baseado nos resultados encontrados, o Núcleo pode solicitar modificações, melhorias ou ainda extinguir aquele tipo de projeto desenvolvido por nossa IES. A avaliação contínua é fundamental para embasamento de atitudes para renovação dos projetos propostos.</w:t>
      </w:r>
    </w:p>
    <w:p w:rsidR="009617B8" w:rsidRDefault="009617B8" w:rsidP="009617B8">
      <w:pPr>
        <w:tabs>
          <w:tab w:val="left" w:pos="5520"/>
        </w:tabs>
        <w:spacing w:line="360" w:lineRule="auto"/>
        <w:jc w:val="both"/>
        <w:rPr>
          <w:rFonts w:ascii="Arial" w:hAnsi="Arial" w:cs="Arial"/>
          <w:sz w:val="24"/>
          <w:szCs w:val="24"/>
        </w:rPr>
      </w:pPr>
      <w:r>
        <w:rPr>
          <w:rFonts w:ascii="Arial" w:hAnsi="Arial" w:cs="Arial"/>
          <w:sz w:val="24"/>
          <w:szCs w:val="24"/>
        </w:rPr>
        <w:t xml:space="preserve">             A IES busca apoiar o estudante extensionista no sentido de abrir as inscrições para participação do estudante nos projetos durante todo o ano letivo, além de apoiar na divulgação das ações realizadas por meio da ASCOM e também na inscrição dos resumos dos trabalhos e confecção de pôsteres para as apresentações fora da IES.</w:t>
      </w:r>
    </w:p>
    <w:p w:rsidR="009617B8" w:rsidRDefault="009617B8" w:rsidP="009617B8">
      <w:pPr>
        <w:tabs>
          <w:tab w:val="left" w:pos="5520"/>
        </w:tabs>
        <w:spacing w:line="360" w:lineRule="auto"/>
        <w:jc w:val="both"/>
        <w:rPr>
          <w:rFonts w:ascii="Arial" w:hAnsi="Arial" w:cs="Arial"/>
          <w:sz w:val="24"/>
          <w:szCs w:val="24"/>
        </w:rPr>
      </w:pPr>
    </w:p>
    <w:p w:rsidR="009617B8" w:rsidRDefault="009617B8" w:rsidP="009617B8">
      <w:pPr>
        <w:tabs>
          <w:tab w:val="left" w:pos="5520"/>
        </w:tabs>
        <w:spacing w:line="360" w:lineRule="auto"/>
        <w:jc w:val="both"/>
        <w:rPr>
          <w:rFonts w:ascii="Arial" w:hAnsi="Arial" w:cs="Arial"/>
          <w:sz w:val="24"/>
          <w:szCs w:val="24"/>
        </w:rPr>
      </w:pPr>
    </w:p>
    <w:p w:rsidR="009617B8" w:rsidRDefault="009617B8" w:rsidP="009617B8">
      <w:pPr>
        <w:tabs>
          <w:tab w:val="left" w:pos="5520"/>
        </w:tabs>
        <w:spacing w:line="360" w:lineRule="auto"/>
        <w:jc w:val="both"/>
        <w:rPr>
          <w:rFonts w:ascii="Arial" w:hAnsi="Arial" w:cs="Arial"/>
          <w:sz w:val="24"/>
          <w:szCs w:val="24"/>
        </w:rPr>
      </w:pPr>
    </w:p>
    <w:p w:rsidR="009617B8" w:rsidRPr="00547FC9" w:rsidRDefault="009617B8" w:rsidP="009617B8">
      <w:pPr>
        <w:tabs>
          <w:tab w:val="left" w:pos="5520"/>
        </w:tabs>
        <w:spacing w:line="360" w:lineRule="auto"/>
        <w:jc w:val="both"/>
        <w:rPr>
          <w:rFonts w:ascii="Arial" w:hAnsi="Arial" w:cs="Arial"/>
        </w:rPr>
      </w:pPr>
      <w:bookmarkStart w:id="16" w:name="_GoBack"/>
      <w:bookmarkEnd w:id="16"/>
      <w:r w:rsidRPr="00547FC9">
        <w:rPr>
          <w:rFonts w:ascii="Arial" w:hAnsi="Arial" w:cs="Arial"/>
        </w:rPr>
        <w:t>Figura 1 – Fluxo de submissão, seleção, registro e recebimento de certificados dos projetos extensionistas.</w:t>
      </w:r>
    </w:p>
    <w:p w:rsidR="009617B8" w:rsidRDefault="009617B8" w:rsidP="009617B8">
      <w:pPr>
        <w:tabs>
          <w:tab w:val="left" w:pos="5520"/>
        </w:tabs>
        <w:jc w:val="center"/>
        <w:rPr>
          <w:rFonts w:ascii="Arial" w:hAnsi="Arial" w:cs="Arial"/>
          <w:sz w:val="24"/>
          <w:szCs w:val="24"/>
        </w:rPr>
      </w:pPr>
      <w:r>
        <w:rPr>
          <w:rFonts w:ascii="Arial" w:hAnsi="Arial" w:cs="Arial"/>
          <w:noProof/>
          <w:sz w:val="24"/>
          <w:szCs w:val="24"/>
        </w:rPr>
        <w:drawing>
          <wp:inline distT="0" distB="0" distL="0" distR="0" wp14:anchorId="371E862E" wp14:editId="290E704C">
            <wp:extent cx="3882321" cy="6762750"/>
            <wp:effectExtent l="0" t="0" r="444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97502" cy="6963387"/>
                    </a:xfrm>
                    <a:prstGeom prst="rect">
                      <a:avLst/>
                    </a:prstGeom>
                    <a:noFill/>
                    <a:ln>
                      <a:noFill/>
                    </a:ln>
                  </pic:spPr>
                </pic:pic>
              </a:graphicData>
            </a:graphic>
          </wp:inline>
        </w:drawing>
      </w:r>
    </w:p>
    <w:p w:rsidR="009617B8" w:rsidRDefault="009617B8" w:rsidP="009617B8">
      <w:pPr>
        <w:tabs>
          <w:tab w:val="left" w:pos="5520"/>
        </w:tabs>
        <w:spacing w:line="360" w:lineRule="auto"/>
        <w:jc w:val="both"/>
        <w:rPr>
          <w:rFonts w:ascii="Arial" w:hAnsi="Arial" w:cs="Arial"/>
          <w:sz w:val="24"/>
          <w:szCs w:val="24"/>
        </w:rPr>
      </w:pPr>
      <w:r>
        <w:rPr>
          <w:rFonts w:ascii="Arial" w:hAnsi="Arial" w:cs="Arial"/>
          <w:sz w:val="24"/>
          <w:szCs w:val="24"/>
        </w:rPr>
        <w:lastRenderedPageBreak/>
        <w:t xml:space="preserve">                 A IES entende que as propostas extensionistas devem sempre ter como foco o estudante e a comunidade em um contexto que vem de encontro com a modalidade de ensino que o estudante se encontra. Por isso, é necessário que as propostas tenham tanto o cunho presencial quanto o tecnológico para abarcar a modalidade </w:t>
      </w:r>
      <w:proofErr w:type="spellStart"/>
      <w:r>
        <w:rPr>
          <w:rFonts w:ascii="Arial" w:hAnsi="Arial" w:cs="Arial"/>
          <w:sz w:val="24"/>
          <w:szCs w:val="24"/>
        </w:rPr>
        <w:t>EaD</w:t>
      </w:r>
      <w:proofErr w:type="spellEnd"/>
      <w:r>
        <w:rPr>
          <w:rFonts w:ascii="Arial" w:hAnsi="Arial" w:cs="Arial"/>
          <w:sz w:val="24"/>
          <w:szCs w:val="24"/>
        </w:rPr>
        <w:t>. Como afirma Cunha em “Extensão Universitária na EAD” (2019, p.15):</w:t>
      </w:r>
    </w:p>
    <w:p w:rsidR="009617B8" w:rsidRDefault="009617B8" w:rsidP="009617B8">
      <w:pPr>
        <w:tabs>
          <w:tab w:val="left" w:pos="5520"/>
        </w:tabs>
        <w:ind w:left="2832"/>
        <w:jc w:val="both"/>
        <w:rPr>
          <w:rFonts w:ascii="Arial" w:hAnsi="Arial" w:cs="Arial"/>
        </w:rPr>
      </w:pPr>
      <w:r w:rsidRPr="00C65AD5">
        <w:rPr>
          <w:rFonts w:ascii="Arial" w:hAnsi="Arial" w:cs="Arial"/>
        </w:rPr>
        <w:t xml:space="preserve">As ações das atividades de extensão no âmbito dos programas de </w:t>
      </w:r>
      <w:proofErr w:type="spellStart"/>
      <w:r w:rsidRPr="00C65AD5">
        <w:rPr>
          <w:rFonts w:ascii="Arial" w:hAnsi="Arial" w:cs="Arial"/>
        </w:rPr>
        <w:t>EaD</w:t>
      </w:r>
      <w:proofErr w:type="spellEnd"/>
      <w:r w:rsidRPr="00C65AD5">
        <w:rPr>
          <w:rFonts w:ascii="Arial" w:hAnsi="Arial" w:cs="Arial"/>
        </w:rPr>
        <w:t xml:space="preserve"> permitem aos que estão envolvidos defrontarem-se e lidarem com realidades diversas de uma forma inovadora e aberta às diferenças sociais, econômicas e culturais, caminho esse que é essencial para o entendimento das diversidades presentes na sociedade contemporânea.</w:t>
      </w:r>
    </w:p>
    <w:p w:rsidR="009617B8" w:rsidRDefault="009617B8" w:rsidP="009617B8">
      <w:pPr>
        <w:tabs>
          <w:tab w:val="left" w:pos="5520"/>
        </w:tabs>
        <w:jc w:val="both"/>
        <w:rPr>
          <w:rFonts w:ascii="Arial" w:hAnsi="Arial" w:cs="Arial"/>
        </w:rPr>
      </w:pPr>
      <w:r>
        <w:rPr>
          <w:rFonts w:ascii="Arial" w:hAnsi="Arial" w:cs="Arial"/>
        </w:rPr>
        <w:t xml:space="preserve">                </w:t>
      </w:r>
    </w:p>
    <w:p w:rsidR="009617B8" w:rsidRDefault="009617B8" w:rsidP="009617B8">
      <w:pPr>
        <w:tabs>
          <w:tab w:val="left" w:pos="5520"/>
        </w:tabs>
        <w:jc w:val="both"/>
        <w:rPr>
          <w:rFonts w:ascii="Arial" w:hAnsi="Arial" w:cs="Arial"/>
        </w:rPr>
      </w:pPr>
    </w:p>
    <w:p w:rsidR="009617B8" w:rsidRDefault="009617B8" w:rsidP="009617B8">
      <w:pPr>
        <w:tabs>
          <w:tab w:val="left" w:pos="5520"/>
        </w:tabs>
        <w:spacing w:line="360" w:lineRule="auto"/>
        <w:jc w:val="both"/>
        <w:rPr>
          <w:rFonts w:ascii="Arial" w:hAnsi="Arial" w:cs="Arial"/>
          <w:sz w:val="24"/>
          <w:szCs w:val="24"/>
        </w:rPr>
      </w:pPr>
      <w:r>
        <w:rPr>
          <w:rFonts w:ascii="Arial" w:hAnsi="Arial" w:cs="Arial"/>
        </w:rPr>
        <w:t xml:space="preserve">                     </w:t>
      </w:r>
      <w:r>
        <w:rPr>
          <w:rFonts w:ascii="Arial" w:hAnsi="Arial" w:cs="Arial"/>
          <w:sz w:val="24"/>
          <w:szCs w:val="24"/>
        </w:rPr>
        <w:t xml:space="preserve">A inclusão das atividades extensionistas mesmo nos cursos de graduação na modalidade </w:t>
      </w:r>
      <w:proofErr w:type="spellStart"/>
      <w:r>
        <w:rPr>
          <w:rFonts w:ascii="Arial" w:hAnsi="Arial" w:cs="Arial"/>
          <w:sz w:val="24"/>
          <w:szCs w:val="24"/>
        </w:rPr>
        <w:t>EaD</w:t>
      </w:r>
      <w:proofErr w:type="spellEnd"/>
      <w:r>
        <w:rPr>
          <w:rFonts w:ascii="Arial" w:hAnsi="Arial" w:cs="Arial"/>
          <w:sz w:val="24"/>
          <w:szCs w:val="24"/>
        </w:rPr>
        <w:t>, demonstra a evolução nas formas de se fazer a extensão além de estar em alinhamento com o Art. 3º do Capítulo I da</w:t>
      </w:r>
      <w:r w:rsidRPr="00E03590">
        <w:rPr>
          <w:rFonts w:ascii="Arial" w:hAnsi="Arial" w:cs="Arial"/>
          <w:sz w:val="24"/>
          <w:szCs w:val="24"/>
        </w:rPr>
        <w:t xml:space="preserve"> resolução CNE/CES nº7 de 18 de dezembro de</w:t>
      </w:r>
      <w:r>
        <w:rPr>
          <w:rFonts w:ascii="Arial" w:hAnsi="Arial" w:cs="Arial"/>
          <w:sz w:val="24"/>
          <w:szCs w:val="24"/>
        </w:rPr>
        <w:t xml:space="preserve"> 2018: </w:t>
      </w:r>
    </w:p>
    <w:p w:rsidR="009617B8" w:rsidRPr="00D759ED" w:rsidRDefault="009617B8" w:rsidP="009617B8">
      <w:pPr>
        <w:tabs>
          <w:tab w:val="left" w:pos="5520"/>
        </w:tabs>
        <w:ind w:left="2832"/>
        <w:jc w:val="both"/>
        <w:rPr>
          <w:rFonts w:ascii="Arial" w:hAnsi="Arial" w:cs="Arial"/>
        </w:rPr>
      </w:pPr>
      <w:r w:rsidRPr="00D759ED">
        <w:rPr>
          <w:rFonts w:ascii="Arial" w:hAnsi="Arial" w:cs="Arial"/>
        </w:rPr>
        <w:t>A Extensão na Educação Superior Brasileira é a atividade que se integra à matriz curricular e à organização da pesquisa, constituindo-se em processo interdisciplinar, político educacional, cultural, científico, tecnológico, que promove a interação transformadora entre as instituições de ensino superior e os outros setores da sociedade, por meio da produção e da aplicação do conhecimento, em articulação permanente com o ensino e a pesquisa.</w:t>
      </w:r>
    </w:p>
    <w:p w:rsidR="005A0816" w:rsidRDefault="005A0816" w:rsidP="005A0816">
      <w:pPr>
        <w:rPr>
          <w:lang w:val="x-none" w:eastAsia="x-none"/>
        </w:rPr>
      </w:pPr>
    </w:p>
    <w:p w:rsidR="00C41AF7" w:rsidRDefault="005A0816" w:rsidP="00C41AF7">
      <w:pPr>
        <w:spacing w:before="120" w:after="120" w:line="360" w:lineRule="auto"/>
        <w:jc w:val="right"/>
        <w:rPr>
          <w:rFonts w:ascii="Arial" w:hAnsi="Arial" w:cs="Arial"/>
        </w:rPr>
      </w:pPr>
      <w:r>
        <w:rPr>
          <w:rFonts w:ascii="Arial" w:hAnsi="Arial" w:cs="Arial"/>
        </w:rPr>
        <w:t>Núcleo de i</w:t>
      </w:r>
      <w:r w:rsidR="00C41AF7">
        <w:rPr>
          <w:rFonts w:ascii="Arial" w:hAnsi="Arial" w:cs="Arial"/>
        </w:rPr>
        <w:t>niciação Científica e Extensão</w:t>
      </w:r>
    </w:p>
    <w:sectPr w:rsidR="00C41AF7" w:rsidSect="00C41AF7">
      <w:headerReference w:type="default" r:id="rId9"/>
      <w:headerReference w:type="first" r:id="rId10"/>
      <w:pgSz w:w="11906" w:h="16838"/>
      <w:pgMar w:top="1701" w:right="1701" w:bottom="2552" w:left="1701" w:header="73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48AD" w:rsidRDefault="00E948AD" w:rsidP="009C0D8F">
      <w:pPr>
        <w:spacing w:after="0" w:line="240" w:lineRule="auto"/>
      </w:pPr>
      <w:r>
        <w:separator/>
      </w:r>
    </w:p>
  </w:endnote>
  <w:endnote w:type="continuationSeparator" w:id="0">
    <w:p w:rsidR="00E948AD" w:rsidRDefault="00E948AD" w:rsidP="009C0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Black">
    <w:altName w:val="Mangal"/>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48AD" w:rsidRDefault="00E948AD" w:rsidP="009C0D8F">
      <w:pPr>
        <w:spacing w:after="0" w:line="240" w:lineRule="auto"/>
      </w:pPr>
      <w:r>
        <w:separator/>
      </w:r>
    </w:p>
  </w:footnote>
  <w:footnote w:type="continuationSeparator" w:id="0">
    <w:p w:rsidR="00E948AD" w:rsidRDefault="00E948AD" w:rsidP="009C0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B69" w:rsidRDefault="00E14A48">
    <w:pPr>
      <w:pStyle w:val="Cabealho"/>
    </w:pPr>
    <w:r>
      <w:rPr>
        <w:noProof/>
      </w:rPr>
      <w:drawing>
        <wp:anchor distT="0" distB="0" distL="114300" distR="114300" simplePos="0" relativeHeight="251660288" behindDoc="0" locked="0" layoutInCell="1" allowOverlap="1">
          <wp:simplePos x="0" y="0"/>
          <wp:positionH relativeFrom="page">
            <wp:align>right</wp:align>
          </wp:positionH>
          <wp:positionV relativeFrom="paragraph">
            <wp:posOffset>-449580</wp:posOffset>
          </wp:positionV>
          <wp:extent cx="7553325" cy="10670570"/>
          <wp:effectExtent l="0" t="0" r="0" b="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6705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D8F" w:rsidRDefault="009C0D8F">
    <w:pPr>
      <w:pStyle w:val="Cabealho"/>
    </w:pPr>
    <w:r>
      <w:rPr>
        <w:noProof/>
      </w:rPr>
      <w:drawing>
        <wp:anchor distT="0" distB="0" distL="114300" distR="114300" simplePos="0" relativeHeight="251659264" behindDoc="0" locked="0" layoutInCell="1" allowOverlap="1">
          <wp:simplePos x="0" y="0"/>
          <wp:positionH relativeFrom="page">
            <wp:align>left</wp:align>
          </wp:positionH>
          <wp:positionV relativeFrom="paragraph">
            <wp:posOffset>-449580</wp:posOffset>
          </wp:positionV>
          <wp:extent cx="7545427" cy="10677525"/>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PEL-TIMBRADO-MEDICINA---capa.jpg"/>
                  <pic:cNvPicPr/>
                </pic:nvPicPr>
                <pic:blipFill>
                  <a:blip r:embed="rId1">
                    <a:extLst>
                      <a:ext uri="{28A0092B-C50C-407E-A947-70E740481C1C}">
                        <a14:useLocalDpi xmlns:a14="http://schemas.microsoft.com/office/drawing/2010/main" val="0"/>
                      </a:ext>
                    </a:extLst>
                  </a:blip>
                  <a:stretch>
                    <a:fillRect/>
                  </a:stretch>
                </pic:blipFill>
                <pic:spPr>
                  <a:xfrm>
                    <a:off x="0" y="0"/>
                    <a:ext cx="7545427" cy="106775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E5738"/>
    <w:multiLevelType w:val="hybridMultilevel"/>
    <w:tmpl w:val="B2969304"/>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 w15:restartNumberingAfterBreak="0">
    <w:nsid w:val="073D6DF0"/>
    <w:multiLevelType w:val="hybridMultilevel"/>
    <w:tmpl w:val="434AE886"/>
    <w:lvl w:ilvl="0" w:tplc="D8F2521A">
      <w:start w:val="13"/>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6467794"/>
    <w:multiLevelType w:val="hybridMultilevel"/>
    <w:tmpl w:val="811224EC"/>
    <w:lvl w:ilvl="0" w:tplc="0416000F">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9A15823"/>
    <w:multiLevelType w:val="hybridMultilevel"/>
    <w:tmpl w:val="FEF0086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14E43C1"/>
    <w:multiLevelType w:val="multilevel"/>
    <w:tmpl w:val="5D12009C"/>
    <w:lvl w:ilvl="0">
      <w:start w:val="1"/>
      <w:numFmt w:val="decimal"/>
      <w:lvlText w:val="%1."/>
      <w:lvlJc w:val="left"/>
      <w:pPr>
        <w:ind w:left="1069" w:hanging="360"/>
      </w:pPr>
      <w:rPr>
        <w:rFonts w:hint="default"/>
        <w:b/>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149" w:hanging="144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509" w:hanging="1800"/>
      </w:pPr>
      <w:rPr>
        <w:rFonts w:hint="default"/>
        <w:b w:val="0"/>
      </w:rPr>
    </w:lvl>
  </w:abstractNum>
  <w:abstractNum w:abstractNumId="5" w15:restartNumberingAfterBreak="0">
    <w:nsid w:val="631F581E"/>
    <w:multiLevelType w:val="multilevel"/>
    <w:tmpl w:val="1200D44A"/>
    <w:lvl w:ilvl="0">
      <w:start w:val="10"/>
      <w:numFmt w:val="decimal"/>
      <w:lvlText w:val="%1"/>
      <w:lvlJc w:val="left"/>
      <w:pPr>
        <w:ind w:left="420" w:hanging="420"/>
      </w:pPr>
      <w:rPr>
        <w:rFonts w:hint="default"/>
      </w:rPr>
    </w:lvl>
    <w:lvl w:ilvl="1">
      <w:start w:val="1"/>
      <w:numFmt w:val="decimal"/>
      <w:lvlText w:val="%1.%2"/>
      <w:lvlJc w:val="left"/>
      <w:pPr>
        <w:ind w:left="2209" w:hanging="420"/>
      </w:pPr>
      <w:rPr>
        <w:rFonts w:hint="default"/>
        <w:color w:val="auto"/>
      </w:rPr>
    </w:lvl>
    <w:lvl w:ilvl="2">
      <w:start w:val="1"/>
      <w:numFmt w:val="decimal"/>
      <w:lvlText w:val="%1.%2.%3"/>
      <w:lvlJc w:val="left"/>
      <w:pPr>
        <w:ind w:left="4298" w:hanging="720"/>
      </w:pPr>
      <w:rPr>
        <w:rFonts w:hint="default"/>
      </w:rPr>
    </w:lvl>
    <w:lvl w:ilvl="3">
      <w:start w:val="1"/>
      <w:numFmt w:val="decimal"/>
      <w:lvlText w:val="%1.%2.%3.%4"/>
      <w:lvlJc w:val="left"/>
      <w:pPr>
        <w:ind w:left="6087" w:hanging="72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025" w:hanging="1080"/>
      </w:pPr>
      <w:rPr>
        <w:rFonts w:hint="default"/>
      </w:rPr>
    </w:lvl>
    <w:lvl w:ilvl="6">
      <w:start w:val="1"/>
      <w:numFmt w:val="decimal"/>
      <w:lvlText w:val="%1.%2.%3.%4.%5.%6.%7"/>
      <w:lvlJc w:val="left"/>
      <w:pPr>
        <w:ind w:left="12174" w:hanging="1440"/>
      </w:pPr>
      <w:rPr>
        <w:rFonts w:hint="default"/>
      </w:rPr>
    </w:lvl>
    <w:lvl w:ilvl="7">
      <w:start w:val="1"/>
      <w:numFmt w:val="decimal"/>
      <w:lvlText w:val="%1.%2.%3.%4.%5.%6.%7.%8"/>
      <w:lvlJc w:val="left"/>
      <w:pPr>
        <w:ind w:left="13963" w:hanging="1440"/>
      </w:pPr>
      <w:rPr>
        <w:rFonts w:hint="default"/>
      </w:rPr>
    </w:lvl>
    <w:lvl w:ilvl="8">
      <w:start w:val="1"/>
      <w:numFmt w:val="decimal"/>
      <w:lvlText w:val="%1.%2.%3.%4.%5.%6.%7.%8.%9"/>
      <w:lvlJc w:val="left"/>
      <w:pPr>
        <w:ind w:left="16112" w:hanging="1800"/>
      </w:pPr>
      <w:rPr>
        <w:rFonts w:hint="default"/>
      </w:rPr>
    </w:lvl>
  </w:abstractNum>
  <w:abstractNum w:abstractNumId="6" w15:restartNumberingAfterBreak="0">
    <w:nsid w:val="636E2DE9"/>
    <w:multiLevelType w:val="hybridMultilevel"/>
    <w:tmpl w:val="84FA0C4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82B02B3"/>
    <w:multiLevelType w:val="hybridMultilevel"/>
    <w:tmpl w:val="EFBE0472"/>
    <w:lvl w:ilvl="0" w:tplc="C56C712A">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8" w15:restartNumberingAfterBreak="0">
    <w:nsid w:val="742C1F5E"/>
    <w:multiLevelType w:val="multilevel"/>
    <w:tmpl w:val="5E9ABAF6"/>
    <w:lvl w:ilvl="0">
      <w:start w:val="8"/>
      <w:numFmt w:val="decimal"/>
      <w:lvlText w:val="%1"/>
      <w:lvlJc w:val="left"/>
      <w:pPr>
        <w:ind w:left="1070" w:hanging="360"/>
      </w:pPr>
      <w:rPr>
        <w:rFonts w:hint="default"/>
      </w:rPr>
    </w:lvl>
    <w:lvl w:ilvl="1">
      <w:start w:val="1"/>
      <w:numFmt w:val="decimal"/>
      <w:isLgl/>
      <w:lvlText w:val="%1.%2"/>
      <w:lvlJc w:val="left"/>
      <w:pPr>
        <w:ind w:left="1778" w:hanging="360"/>
      </w:pPr>
      <w:rPr>
        <w:rFonts w:hint="default"/>
        <w:b w:val="0"/>
      </w:rPr>
    </w:lvl>
    <w:lvl w:ilvl="2">
      <w:start w:val="1"/>
      <w:numFmt w:val="decimal"/>
      <w:isLgl/>
      <w:lvlText w:val="%1.%2.%3"/>
      <w:lvlJc w:val="left"/>
      <w:pPr>
        <w:ind w:left="2846" w:hanging="720"/>
      </w:pPr>
      <w:rPr>
        <w:rFonts w:hint="default"/>
        <w:b w:val="0"/>
      </w:rPr>
    </w:lvl>
    <w:lvl w:ilvl="3">
      <w:start w:val="1"/>
      <w:numFmt w:val="decimal"/>
      <w:isLgl/>
      <w:lvlText w:val="%1.%2.%3.%4"/>
      <w:lvlJc w:val="left"/>
      <w:pPr>
        <w:ind w:left="3554" w:hanging="720"/>
      </w:pPr>
      <w:rPr>
        <w:rFonts w:hint="default"/>
        <w:b w:val="0"/>
      </w:rPr>
    </w:lvl>
    <w:lvl w:ilvl="4">
      <w:start w:val="1"/>
      <w:numFmt w:val="decimal"/>
      <w:isLgl/>
      <w:lvlText w:val="%1.%2.%3.%4.%5"/>
      <w:lvlJc w:val="left"/>
      <w:pPr>
        <w:ind w:left="4622" w:hanging="1080"/>
      </w:pPr>
      <w:rPr>
        <w:rFonts w:hint="default"/>
        <w:b w:val="0"/>
      </w:rPr>
    </w:lvl>
    <w:lvl w:ilvl="5">
      <w:start w:val="1"/>
      <w:numFmt w:val="decimal"/>
      <w:isLgl/>
      <w:lvlText w:val="%1.%2.%3.%4.%5.%6"/>
      <w:lvlJc w:val="left"/>
      <w:pPr>
        <w:ind w:left="5330" w:hanging="1080"/>
      </w:pPr>
      <w:rPr>
        <w:rFonts w:hint="default"/>
        <w:b w:val="0"/>
      </w:rPr>
    </w:lvl>
    <w:lvl w:ilvl="6">
      <w:start w:val="1"/>
      <w:numFmt w:val="decimal"/>
      <w:isLgl/>
      <w:lvlText w:val="%1.%2.%3.%4.%5.%6.%7"/>
      <w:lvlJc w:val="left"/>
      <w:pPr>
        <w:ind w:left="6398" w:hanging="1440"/>
      </w:pPr>
      <w:rPr>
        <w:rFonts w:hint="default"/>
        <w:b w:val="0"/>
      </w:rPr>
    </w:lvl>
    <w:lvl w:ilvl="7">
      <w:start w:val="1"/>
      <w:numFmt w:val="decimal"/>
      <w:isLgl/>
      <w:lvlText w:val="%1.%2.%3.%4.%5.%6.%7.%8"/>
      <w:lvlJc w:val="left"/>
      <w:pPr>
        <w:ind w:left="7106" w:hanging="1440"/>
      </w:pPr>
      <w:rPr>
        <w:rFonts w:hint="default"/>
        <w:b w:val="0"/>
      </w:rPr>
    </w:lvl>
    <w:lvl w:ilvl="8">
      <w:start w:val="1"/>
      <w:numFmt w:val="decimal"/>
      <w:isLgl/>
      <w:lvlText w:val="%1.%2.%3.%4.%5.%6.%7.%8.%9"/>
      <w:lvlJc w:val="left"/>
      <w:pPr>
        <w:ind w:left="8174" w:hanging="1800"/>
      </w:pPr>
      <w:rPr>
        <w:rFonts w:hint="default"/>
        <w:b w:val="0"/>
      </w:rPr>
    </w:lvl>
  </w:abstractNum>
  <w:num w:numId="1">
    <w:abstractNumId w:val="4"/>
  </w:num>
  <w:num w:numId="2">
    <w:abstractNumId w:val="0"/>
  </w:num>
  <w:num w:numId="3">
    <w:abstractNumId w:val="8"/>
  </w:num>
  <w:num w:numId="4">
    <w:abstractNumId w:val="5"/>
  </w:num>
  <w:num w:numId="5">
    <w:abstractNumId w:val="3"/>
  </w:num>
  <w:num w:numId="6">
    <w:abstractNumId w:val="7"/>
  </w:num>
  <w:num w:numId="7">
    <w:abstractNumId w:val="6"/>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D8F"/>
    <w:rsid w:val="003224E4"/>
    <w:rsid w:val="00522472"/>
    <w:rsid w:val="005A0816"/>
    <w:rsid w:val="00823F4B"/>
    <w:rsid w:val="0082466E"/>
    <w:rsid w:val="00921AD4"/>
    <w:rsid w:val="009617B8"/>
    <w:rsid w:val="009C0799"/>
    <w:rsid w:val="009C0D8F"/>
    <w:rsid w:val="009E0B69"/>
    <w:rsid w:val="00AA7872"/>
    <w:rsid w:val="00B76129"/>
    <w:rsid w:val="00C41AF7"/>
    <w:rsid w:val="00DE4AC1"/>
    <w:rsid w:val="00E14A48"/>
    <w:rsid w:val="00E948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74298C"/>
  <w15:chartTrackingRefBased/>
  <w15:docId w15:val="{41FAC68B-F900-46FC-A5E4-9DF3873F2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0D8F"/>
  </w:style>
  <w:style w:type="paragraph" w:styleId="Ttulo1">
    <w:name w:val="heading 1"/>
    <w:basedOn w:val="Normal"/>
    <w:next w:val="Normal"/>
    <w:link w:val="Ttulo1Char"/>
    <w:qFormat/>
    <w:rsid w:val="0082466E"/>
    <w:pPr>
      <w:keepNext/>
      <w:spacing w:after="0" w:line="240" w:lineRule="auto"/>
      <w:outlineLvl w:val="0"/>
    </w:pPr>
    <w:rPr>
      <w:rFonts w:ascii="Times New Roman" w:eastAsia="Times New Roman" w:hAnsi="Times New Roman" w:cs="Times New Roman"/>
      <w:sz w:val="28"/>
      <w:szCs w:val="20"/>
      <w:lang w:val="x-none" w:eastAsia="x-none"/>
    </w:rPr>
  </w:style>
  <w:style w:type="paragraph" w:styleId="Ttulo3">
    <w:name w:val="heading 3"/>
    <w:basedOn w:val="Normal"/>
    <w:next w:val="Normal"/>
    <w:link w:val="Ttulo3Char"/>
    <w:uiPriority w:val="9"/>
    <w:semiHidden/>
    <w:unhideWhenUsed/>
    <w:qFormat/>
    <w:rsid w:val="009617B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C0D8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C0D8F"/>
  </w:style>
  <w:style w:type="paragraph" w:styleId="Rodap">
    <w:name w:val="footer"/>
    <w:basedOn w:val="Normal"/>
    <w:link w:val="RodapChar"/>
    <w:uiPriority w:val="99"/>
    <w:unhideWhenUsed/>
    <w:rsid w:val="009C0D8F"/>
    <w:pPr>
      <w:tabs>
        <w:tab w:val="center" w:pos="4252"/>
        <w:tab w:val="right" w:pos="8504"/>
      </w:tabs>
      <w:spacing w:after="0" w:line="240" w:lineRule="auto"/>
    </w:pPr>
  </w:style>
  <w:style w:type="character" w:customStyle="1" w:styleId="RodapChar">
    <w:name w:val="Rodapé Char"/>
    <w:basedOn w:val="Fontepargpadro"/>
    <w:link w:val="Rodap"/>
    <w:uiPriority w:val="99"/>
    <w:rsid w:val="009C0D8F"/>
  </w:style>
  <w:style w:type="character" w:styleId="Hyperlink">
    <w:name w:val="Hyperlink"/>
    <w:uiPriority w:val="99"/>
    <w:unhideWhenUsed/>
    <w:rsid w:val="00C41AF7"/>
    <w:rPr>
      <w:color w:val="0000FF"/>
      <w:u w:val="single"/>
    </w:rPr>
  </w:style>
  <w:style w:type="paragraph" w:styleId="PargrafodaLista">
    <w:name w:val="List Paragraph"/>
    <w:basedOn w:val="Normal"/>
    <w:uiPriority w:val="34"/>
    <w:qFormat/>
    <w:rsid w:val="00C41AF7"/>
    <w:pPr>
      <w:spacing w:after="0" w:line="240" w:lineRule="auto"/>
      <w:ind w:left="708"/>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C41AF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41AF7"/>
    <w:rPr>
      <w:rFonts w:ascii="Segoe UI" w:hAnsi="Segoe UI" w:cs="Segoe UI"/>
      <w:sz w:val="18"/>
      <w:szCs w:val="18"/>
    </w:rPr>
  </w:style>
  <w:style w:type="character" w:customStyle="1" w:styleId="Ttulo1Char">
    <w:name w:val="Título 1 Char"/>
    <w:basedOn w:val="Fontepargpadro"/>
    <w:link w:val="Ttulo1"/>
    <w:rsid w:val="0082466E"/>
    <w:rPr>
      <w:rFonts w:ascii="Times New Roman" w:eastAsia="Times New Roman" w:hAnsi="Times New Roman" w:cs="Times New Roman"/>
      <w:sz w:val="28"/>
      <w:szCs w:val="20"/>
      <w:lang w:val="x-none" w:eastAsia="x-none"/>
    </w:rPr>
  </w:style>
  <w:style w:type="table" w:styleId="Tabelacomgrade">
    <w:name w:val="Table Grid"/>
    <w:basedOn w:val="Tabelanormal"/>
    <w:uiPriority w:val="39"/>
    <w:rsid w:val="0082466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2466E"/>
    <w:pPr>
      <w:widowControl w:val="0"/>
      <w:autoSpaceDE w:val="0"/>
      <w:autoSpaceDN w:val="0"/>
      <w:spacing w:after="0" w:line="240" w:lineRule="auto"/>
    </w:pPr>
    <w:rPr>
      <w:rFonts w:ascii="Calibri" w:eastAsia="Calibri" w:hAnsi="Calibri" w:cs="Calibri"/>
      <w:lang w:val="pt-PT"/>
    </w:rPr>
  </w:style>
  <w:style w:type="paragraph" w:styleId="Sumrio1">
    <w:name w:val="toc 1"/>
    <w:basedOn w:val="Normal"/>
    <w:next w:val="Normal"/>
    <w:autoRedefine/>
    <w:uiPriority w:val="39"/>
    <w:unhideWhenUsed/>
    <w:rsid w:val="005A0816"/>
    <w:pPr>
      <w:tabs>
        <w:tab w:val="right" w:leader="dot" w:pos="9395"/>
      </w:tabs>
      <w:spacing w:after="0" w:line="360" w:lineRule="auto"/>
    </w:pPr>
    <w:rPr>
      <w:rFonts w:ascii="Times New Roman" w:eastAsia="Times New Roman" w:hAnsi="Times New Roman" w:cs="Times New Roman"/>
      <w:sz w:val="20"/>
      <w:szCs w:val="20"/>
      <w:lang w:eastAsia="pt-BR"/>
    </w:rPr>
  </w:style>
  <w:style w:type="character" w:customStyle="1" w:styleId="Ttulo3Char">
    <w:name w:val="Título 3 Char"/>
    <w:basedOn w:val="Fontepargpadro"/>
    <w:link w:val="Ttulo3"/>
    <w:uiPriority w:val="9"/>
    <w:semiHidden/>
    <w:rsid w:val="009617B8"/>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9617B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617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2682-4F86-4BC6-9CFF-2FE8C7C02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5694</Words>
  <Characters>30750</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UNICEPLAC</Company>
  <LinksUpToDate>false</LinksUpToDate>
  <CharactersWithSpaces>36372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Gabriel Costa Plaza</dc:creator>
  <cp:keywords/>
  <dc:description/>
  <cp:lastModifiedBy>LIZIA LENZA CAMPOS</cp:lastModifiedBy>
  <cp:revision>2</cp:revision>
  <cp:lastPrinted>2023-08-30T17:56:00Z</cp:lastPrinted>
  <dcterms:created xsi:type="dcterms:W3CDTF">2023-09-27T01:02:00Z</dcterms:created>
  <dcterms:modified xsi:type="dcterms:W3CDTF">2023-09-27T01:02:00Z</dcterms:modified>
</cp:coreProperties>
</file>